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59" w:rsidRPr="00E229A0" w:rsidRDefault="00F74259" w:rsidP="00F74259">
      <w:pPr>
        <w:pStyle w:val="pkt"/>
        <w:shd w:val="clear" w:color="auto" w:fill="D9D9D9"/>
        <w:spacing w:before="0" w:after="0"/>
        <w:ind w:left="0" w:firstLine="0"/>
        <w:rPr>
          <w:rFonts w:ascii="Calibri" w:hAnsi="Calibri"/>
          <w:sz w:val="22"/>
          <w:szCs w:val="22"/>
        </w:rPr>
      </w:pPr>
      <w:bookmarkStart w:id="0" w:name="_Toc255466481"/>
      <w:r w:rsidRPr="00E229A0">
        <w:rPr>
          <w:rFonts w:ascii="Calibri" w:hAnsi="Calibri"/>
          <w:b/>
          <w:sz w:val="22"/>
          <w:szCs w:val="22"/>
        </w:rPr>
        <w:t>DODATKI I ELEMENTY SPECYFIKACJI ISTOTNYCH WARUNKÓW ZAMÓWIENIA, KTÓRE WYKONAWCA MOŻE WYKORZYSTAĆ JAKO FORMULARZE OFERTY I ZAŁĄCZNIKÓW DO OFERTY</w:t>
      </w:r>
    </w:p>
    <w:bookmarkEnd w:id="0"/>
    <w:p w:rsidR="00F74259" w:rsidRPr="00CF770E" w:rsidRDefault="00F74259" w:rsidP="00F74259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eastAsia="Arial Unicode MS" w:hAnsi="Calibri" w:cs="Arial"/>
          <w:b/>
          <w:sz w:val="22"/>
          <w:szCs w:val="22"/>
        </w:rPr>
      </w:pPr>
    </w:p>
    <w:p w:rsidR="00F74259" w:rsidRPr="00280462" w:rsidRDefault="00F74259" w:rsidP="00F74259">
      <w:pPr>
        <w:shd w:val="clear" w:color="auto" w:fill="D9D9D9"/>
        <w:spacing w:before="120" w:line="259" w:lineRule="exact"/>
        <w:ind w:left="1571" w:right="1656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4"/>
        </w:rPr>
        <w:t>OFERTA</w:t>
      </w:r>
    </w:p>
    <w:p w:rsidR="00F74259" w:rsidRPr="003B1B30" w:rsidRDefault="00F74259" w:rsidP="00F74259">
      <w:pPr>
        <w:shd w:val="clear" w:color="auto" w:fill="FFFFFF"/>
        <w:spacing w:before="120"/>
        <w:jc w:val="both"/>
        <w:rPr>
          <w:rFonts w:ascii="Calibri" w:hAnsi="Calibri"/>
          <w:b/>
          <w:bCs/>
          <w:color w:val="000000"/>
          <w:spacing w:val="1"/>
        </w:rPr>
      </w:pPr>
      <w:r>
        <w:rPr>
          <w:rFonts w:ascii="Calibri" w:hAnsi="Calibri"/>
          <w:b/>
          <w:bCs/>
          <w:color w:val="000000"/>
          <w:spacing w:val="1"/>
        </w:rPr>
        <w:t>Część 1 Nazwa: Dostawa serwera wraz z oprogramowaniem</w:t>
      </w:r>
    </w:p>
    <w:p w:rsidR="00F74259" w:rsidRPr="00280462" w:rsidRDefault="00F74259" w:rsidP="00F74259">
      <w:pPr>
        <w:numPr>
          <w:ilvl w:val="0"/>
          <w:numId w:val="14"/>
        </w:numPr>
        <w:shd w:val="clear" w:color="auto" w:fill="FFFFFF"/>
        <w:spacing w:before="120" w:after="0" w:line="240" w:lineRule="auto"/>
        <w:jc w:val="both"/>
        <w:rPr>
          <w:rFonts w:ascii="Calibri" w:hAnsi="Calibri"/>
          <w:b/>
          <w:bCs/>
          <w:color w:val="000000"/>
          <w:spacing w:val="1"/>
        </w:rPr>
      </w:pPr>
      <w:r w:rsidRPr="00280462">
        <w:rPr>
          <w:rFonts w:ascii="Calibri" w:hAnsi="Calibri"/>
          <w:b/>
          <w:bCs/>
          <w:color w:val="000000"/>
          <w:spacing w:val="1"/>
        </w:rPr>
        <w:t>ZAMAWIAJĄCY:</w:t>
      </w:r>
    </w:p>
    <w:p w:rsidR="00F74259" w:rsidRPr="005622E2" w:rsidRDefault="00F74259" w:rsidP="00F74259">
      <w:pPr>
        <w:pStyle w:val="Akapitzlist"/>
        <w:ind w:left="357"/>
        <w:rPr>
          <w:b/>
        </w:rPr>
      </w:pPr>
      <w:r w:rsidRPr="005622E2">
        <w:rPr>
          <w:b/>
        </w:rPr>
        <w:t>MIASTO ŁUKÓW</w:t>
      </w:r>
    </w:p>
    <w:p w:rsidR="00F74259" w:rsidRPr="005622E2" w:rsidRDefault="00F74259" w:rsidP="00F74259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F74259" w:rsidRPr="005622E2" w:rsidRDefault="00F74259" w:rsidP="00F74259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F74259" w:rsidRPr="005622E2" w:rsidRDefault="00F74259" w:rsidP="00F74259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F74259" w:rsidRDefault="00F74259" w:rsidP="00F74259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F74259" w:rsidRPr="00100B71" w:rsidRDefault="00F74259" w:rsidP="00F74259">
      <w:pPr>
        <w:pStyle w:val="Akapitzlist"/>
        <w:ind w:left="360"/>
      </w:pPr>
      <w:r w:rsidRPr="00100B71">
        <w:t xml:space="preserve">Tel.: </w:t>
      </w:r>
      <w:r w:rsidRPr="00100B71">
        <w:rPr>
          <w:b/>
        </w:rPr>
        <w:t xml:space="preserve">+48 </w:t>
      </w:r>
      <w:r>
        <w:rPr>
          <w:rFonts w:cs="Book Antiqua"/>
          <w:b/>
          <w:bCs/>
          <w:color w:val="000000"/>
        </w:rPr>
        <w:t xml:space="preserve">25 798 27 </w:t>
      </w:r>
      <w:r w:rsidRPr="00100B71">
        <w:rPr>
          <w:rFonts w:cs="Book Antiqua"/>
          <w:b/>
          <w:bCs/>
          <w:color w:val="000000"/>
        </w:rPr>
        <w:t>01</w:t>
      </w:r>
      <w:r>
        <w:rPr>
          <w:rFonts w:cs="Book Antiqua"/>
          <w:b/>
          <w:bCs/>
        </w:rPr>
        <w:t xml:space="preserve">, +48 </w:t>
      </w:r>
      <w:r w:rsidRPr="00100B71">
        <w:rPr>
          <w:rFonts w:cs="Book Antiqua"/>
          <w:b/>
          <w:bCs/>
          <w:color w:val="000000"/>
        </w:rPr>
        <w:t>25 797 66 01</w:t>
      </w:r>
    </w:p>
    <w:p w:rsidR="00F74259" w:rsidRPr="005622E2" w:rsidRDefault="00F74259" w:rsidP="00F74259">
      <w:pPr>
        <w:pStyle w:val="Akapitzlist"/>
        <w:ind w:left="360"/>
        <w:rPr>
          <w:b/>
        </w:rPr>
      </w:pPr>
      <w:proofErr w:type="spellStart"/>
      <w:r w:rsidRPr="005622E2">
        <w:t>Fax</w:t>
      </w:r>
      <w:proofErr w:type="spellEnd"/>
      <w:r w:rsidRPr="005622E2">
        <w:t xml:space="preserve">: </w:t>
      </w:r>
      <w:r w:rsidRPr="005622E2">
        <w:rPr>
          <w:b/>
        </w:rPr>
        <w:t>+48 25 798 2701</w:t>
      </w:r>
    </w:p>
    <w:p w:rsidR="00F74259" w:rsidRPr="005622E2" w:rsidRDefault="00F74259" w:rsidP="00F74259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F74259" w:rsidRPr="005622E2" w:rsidRDefault="00F74259" w:rsidP="00F74259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F74259" w:rsidRPr="00BD0C70" w:rsidRDefault="00F74259" w:rsidP="00F74259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DANE WYKONAWCY</w:t>
      </w:r>
    </w:p>
    <w:p w:rsidR="00F74259" w:rsidRPr="00BD0C70" w:rsidRDefault="00F74259" w:rsidP="00F74259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F74259" w:rsidRDefault="00F74259" w:rsidP="00F74259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F74259" w:rsidRPr="00BD0C70" w:rsidRDefault="00F74259" w:rsidP="00F74259">
      <w:pPr>
        <w:shd w:val="clear" w:color="auto" w:fill="FFFFFF"/>
        <w:spacing w:before="240" w:after="120"/>
        <w:ind w:left="425" w:right="2824"/>
        <w:rPr>
          <w:rFonts w:ascii="Calibri" w:hAnsi="Calibri"/>
          <w:b/>
        </w:rPr>
      </w:pPr>
      <w:r>
        <w:rPr>
          <w:rFonts w:ascii="Calibri" w:hAnsi="Calibri"/>
          <w:b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173"/>
        <w:gridCol w:w="1753"/>
        <w:gridCol w:w="1767"/>
      </w:tblGrid>
      <w:tr w:rsidR="00F74259" w:rsidRPr="00280462" w:rsidTr="0056789E">
        <w:tc>
          <w:tcPr>
            <w:tcW w:w="675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  <w:color w:val="000000"/>
                <w:spacing w:val="-4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jc w:val="center"/>
              <w:rPr>
                <w:rFonts w:ascii="Calibri" w:hAnsi="Calibri"/>
                <w:color w:val="000000"/>
                <w:spacing w:val="-3"/>
              </w:rPr>
            </w:pPr>
            <w:r w:rsidRPr="00280462">
              <w:rPr>
                <w:rFonts w:ascii="Calibri" w:hAnsi="Calibri"/>
                <w:color w:val="000000"/>
                <w:spacing w:val="-2"/>
              </w:rPr>
              <w:t>Nazwa(y) Wykonawcy(ów)</w:t>
            </w:r>
          </w:p>
          <w:p w:rsidR="00F74259" w:rsidRPr="00280462" w:rsidRDefault="00F74259" w:rsidP="0056789E">
            <w:pPr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  <w:color w:val="000000"/>
                <w:spacing w:val="-3"/>
              </w:rPr>
              <w:t>Adres(y) Wykonawcy(ów)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</w:rPr>
              <w:t>NIP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</w:rPr>
              <w:t>REGON</w:t>
            </w:r>
          </w:p>
        </w:tc>
      </w:tr>
      <w:tr w:rsidR="00F74259" w:rsidRPr="00280462" w:rsidTr="0056789E">
        <w:tc>
          <w:tcPr>
            <w:tcW w:w="675" w:type="dxa"/>
          </w:tcPr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F74259" w:rsidRDefault="00F74259" w:rsidP="0056789E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F74259" w:rsidRDefault="00F74259" w:rsidP="0056789E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F74259" w:rsidRDefault="00F74259" w:rsidP="00F74259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</w:rPr>
      </w:pPr>
      <w:r w:rsidRPr="00280462">
        <w:rPr>
          <w:rFonts w:ascii="Calibri" w:hAnsi="Calibri"/>
          <w:b/>
          <w:bCs/>
          <w:color w:val="000000"/>
          <w:spacing w:val="8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</w:rPr>
        <w:t>:</w:t>
      </w:r>
    </w:p>
    <w:p w:rsidR="00F74259" w:rsidRDefault="00F74259" w:rsidP="00F74259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F74259" w:rsidRPr="00BD0C70" w:rsidRDefault="00F74259" w:rsidP="00F74259">
      <w:pPr>
        <w:shd w:val="clear" w:color="auto" w:fill="FFFFFF"/>
        <w:spacing w:before="240"/>
        <w:ind w:left="425"/>
        <w:jc w:val="both"/>
        <w:rPr>
          <w:rFonts w:ascii="Calibri" w:hAnsi="Calibri"/>
          <w:b/>
        </w:rPr>
      </w:pPr>
      <w:r w:rsidRPr="00BD0C70">
        <w:rPr>
          <w:rFonts w:ascii="Calibri" w:hAnsi="Calibri" w:cs="Segoe UI"/>
          <w:b/>
        </w:rPr>
        <w:t>DANE TELEADRESOWE</w:t>
      </w:r>
      <w:r>
        <w:rPr>
          <w:rFonts w:ascii="Calibri" w:hAnsi="Calibri" w:cs="Segoe UI"/>
          <w:b/>
        </w:rPr>
        <w:t>,</w:t>
      </w:r>
      <w:r w:rsidRPr="00BD0C70">
        <w:rPr>
          <w:rFonts w:ascii="Calibri" w:hAnsi="Calibri" w:cs="Segoe UI"/>
          <w:b/>
        </w:rPr>
        <w:t xml:space="preserve"> NA </w:t>
      </w:r>
      <w:r>
        <w:rPr>
          <w:rFonts w:ascii="Calibri" w:hAnsi="Calibri" w:cs="Segoe UI"/>
          <w:b/>
        </w:rPr>
        <w:t xml:space="preserve">KTÓRE NALEŻY PRZEKAZYWAĆ </w:t>
      </w:r>
      <w:r w:rsidRPr="00BD0C70">
        <w:rPr>
          <w:rFonts w:ascii="Calibri" w:hAnsi="Calibri" w:cs="Segoe UI"/>
          <w:b/>
        </w:rPr>
        <w:t>KORESPONDENCJĘ ZWIĄZANĄ Z NINIEJSZYM POSTĘPOWANIEM:</w:t>
      </w:r>
    </w:p>
    <w:p w:rsidR="00F74259" w:rsidRPr="00280462" w:rsidRDefault="00F74259" w:rsidP="00F74259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</w:rPr>
      </w:pPr>
      <w:r w:rsidRPr="00BD0C70">
        <w:rPr>
          <w:rFonts w:ascii="Calibri" w:hAnsi="Calibri"/>
          <w:bCs/>
          <w:color w:val="000000"/>
        </w:rPr>
        <w:t>Nr telefonu</w:t>
      </w:r>
      <w:r w:rsidRPr="00280462">
        <w:rPr>
          <w:rFonts w:ascii="Calibri" w:hAnsi="Calibri"/>
          <w:b/>
          <w:bCs/>
          <w:color w:val="000000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Pr="00280462" w:rsidRDefault="00F74259" w:rsidP="00F74259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</w:rPr>
      </w:pPr>
      <w:r w:rsidRPr="00BD0C70">
        <w:rPr>
          <w:rFonts w:ascii="Calibri" w:hAnsi="Calibri"/>
          <w:bCs/>
          <w:color w:val="000000"/>
          <w:spacing w:val="1"/>
        </w:rPr>
        <w:t>Nr faksu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Default="00F74259" w:rsidP="00F74259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Default="00F74259" w:rsidP="00F74259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</w:rPr>
        <w:tab/>
      </w:r>
      <w:r w:rsidRPr="00280462">
        <w:rPr>
          <w:rFonts w:ascii="Calibri" w:hAnsi="Calibri"/>
          <w:b/>
          <w:bCs/>
          <w:color w:val="000000"/>
          <w:spacing w:val="-8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Pr="00CD03D1" w:rsidRDefault="00F74259" w:rsidP="00F7425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right="142" w:hanging="425"/>
        <w:jc w:val="both"/>
        <w:rPr>
          <w:rFonts w:ascii="Calibri" w:hAnsi="Calibri"/>
          <w:b/>
          <w:bCs/>
          <w:color w:val="000000"/>
          <w:spacing w:val="-2"/>
        </w:rPr>
      </w:pPr>
      <w:r w:rsidRPr="00280462">
        <w:rPr>
          <w:rFonts w:ascii="Calibri" w:hAnsi="Calibri"/>
          <w:b/>
          <w:bCs/>
          <w:color w:val="000000"/>
          <w:spacing w:val="-2"/>
        </w:rPr>
        <w:t xml:space="preserve">NAWIĄZUJĄC DO OGŁOSZENIA O ZAMÓWIENIU W POSTĘPOWANIU </w:t>
      </w:r>
      <w:r>
        <w:rPr>
          <w:rFonts w:ascii="Calibri" w:hAnsi="Calibri"/>
          <w:b/>
          <w:bCs/>
          <w:color w:val="000000"/>
          <w:spacing w:val="-2"/>
        </w:rPr>
        <w:t>PROWADZONYM W TRYBIE PRZETARGU</w:t>
      </w:r>
      <w:r w:rsidRPr="00280462">
        <w:rPr>
          <w:rFonts w:ascii="Calibri" w:hAnsi="Calibri"/>
          <w:b/>
          <w:bCs/>
          <w:color w:val="000000"/>
          <w:spacing w:val="-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</w:rPr>
        <w:t xml:space="preserve">: </w:t>
      </w:r>
    </w:p>
    <w:p w:rsidR="00F74259" w:rsidRPr="00233983" w:rsidRDefault="00F74259" w:rsidP="00F7425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142"/>
        <w:jc w:val="both"/>
        <w:rPr>
          <w:rFonts w:ascii="Calibri" w:hAnsi="Calibri"/>
          <w:b/>
          <w:bCs/>
          <w:color w:val="000000"/>
          <w:spacing w:val="-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430"/>
        <w:gridCol w:w="2431"/>
      </w:tblGrid>
      <w:tr w:rsidR="00F74259" w:rsidTr="0056789E">
        <w:tc>
          <w:tcPr>
            <w:tcW w:w="6913" w:type="dxa"/>
            <w:shd w:val="clear" w:color="auto" w:fill="D9D9D9"/>
            <w:vAlign w:val="center"/>
          </w:tcPr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</w:rPr>
            </w:pPr>
            <w:r w:rsidRPr="00A36ABC">
              <w:rPr>
                <w:rFonts w:ascii="Calibri" w:hAnsi="Calibri" w:cs="ArialNarrow,Bold"/>
                <w:b/>
                <w:bCs/>
              </w:rPr>
              <w:t>Nazwa nadana zamówieniu przez zamawiającego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</w:rPr>
            </w:pPr>
            <w:r w:rsidRPr="00A36ABC">
              <w:rPr>
                <w:rFonts w:ascii="Calibri" w:hAnsi="Calibri" w:cs="ArialNarrow,Bold"/>
                <w:b/>
                <w:bCs/>
              </w:rPr>
              <w:t>Nr referencyjny</w:t>
            </w:r>
          </w:p>
        </w:tc>
      </w:tr>
      <w:tr w:rsidR="00F74259" w:rsidTr="0056789E">
        <w:tc>
          <w:tcPr>
            <w:tcW w:w="6913" w:type="dxa"/>
            <w:vAlign w:val="center"/>
          </w:tcPr>
          <w:p w:rsidR="00F74259" w:rsidRPr="000159F9" w:rsidRDefault="00F74259" w:rsidP="0056789E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0159F9">
              <w:rPr>
                <w:b/>
                <w:sz w:val="20"/>
                <w:szCs w:val="20"/>
              </w:rPr>
              <w:t>DOSTAWA SERWERA ORAZ SPRZĘTU KOMPUTEROWEGO</w:t>
            </w:r>
          </w:p>
          <w:p w:rsidR="00F74259" w:rsidRPr="000159F9" w:rsidRDefault="00F74259" w:rsidP="0056789E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both"/>
            </w:pPr>
            <w:r w:rsidRPr="000159F9">
              <w:rPr>
                <w:sz w:val="20"/>
                <w:szCs w:val="20"/>
              </w:rPr>
              <w:t>Część 1: Dostawa serwera wraz z oprogramowaniem</w:t>
            </w:r>
          </w:p>
        </w:tc>
        <w:tc>
          <w:tcPr>
            <w:tcW w:w="2515" w:type="dxa"/>
            <w:vAlign w:val="center"/>
          </w:tcPr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  <w:sz w:val="20"/>
              </w:rPr>
            </w:pPr>
            <w:r w:rsidRPr="00A36ABC">
              <w:rPr>
                <w:rFonts w:ascii="Calibri" w:hAnsi="Calibri" w:cs="ArialNarrow,Bold"/>
                <w:b/>
                <w:bCs/>
                <w:sz w:val="20"/>
              </w:rPr>
              <w:t>ZP.271</w:t>
            </w:r>
            <w:r>
              <w:rPr>
                <w:rFonts w:ascii="Calibri" w:hAnsi="Calibri" w:cs="ArialNarrow,Bold"/>
                <w:b/>
                <w:bCs/>
                <w:sz w:val="20"/>
              </w:rPr>
              <w:t>.11.2020</w:t>
            </w:r>
          </w:p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</w:rPr>
            </w:pPr>
          </w:p>
        </w:tc>
      </w:tr>
    </w:tbl>
    <w:p w:rsidR="00F74259" w:rsidRDefault="00F74259" w:rsidP="00F74259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u w:val="single"/>
        </w:rPr>
      </w:pPr>
      <w:r w:rsidRPr="002E5080">
        <w:rPr>
          <w:rFonts w:ascii="Calibri" w:hAnsi="Calibri"/>
          <w:b/>
          <w:bCs/>
          <w:color w:val="000000"/>
          <w:u w:val="single"/>
        </w:rPr>
        <w:t>SKŁADAMY OFERTĘ NA NASTĘPUJĄCYCH WARUNKACH:</w:t>
      </w:r>
    </w:p>
    <w:p w:rsidR="00F74259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F74259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Pr="00B653D8" w:rsidRDefault="00F74259" w:rsidP="00F74259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F74259" w:rsidRPr="00B653D8" w:rsidRDefault="00F74259" w:rsidP="00F74259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Pr="00B653D8" w:rsidRDefault="00F74259" w:rsidP="00F74259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F74259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Pr="006B7B6A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 xml:space="preserve">składniki </w:t>
      </w:r>
      <w:proofErr w:type="spellStart"/>
      <w:r w:rsidRPr="006B7B6A">
        <w:rPr>
          <w:b/>
          <w:bCs/>
        </w:rPr>
        <w:t>pozacenowe</w:t>
      </w:r>
      <w:proofErr w:type="spellEnd"/>
      <w:r w:rsidRPr="006B7B6A">
        <w:rPr>
          <w:b/>
          <w:bCs/>
        </w:rPr>
        <w:t>:</w:t>
      </w:r>
    </w:p>
    <w:p w:rsidR="00F74259" w:rsidRPr="006B7B6A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/>
        <w:jc w:val="both"/>
        <w:rPr>
          <w:b/>
          <w:bCs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4"/>
        <w:gridCol w:w="4133"/>
        <w:gridCol w:w="4216"/>
      </w:tblGrid>
      <w:tr w:rsidR="00F74259" w:rsidRPr="006B7B6A" w:rsidTr="0056789E">
        <w:tc>
          <w:tcPr>
            <w:tcW w:w="654" w:type="dxa"/>
            <w:shd w:val="clear" w:color="auto" w:fill="D9D9D9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Lp.</w:t>
            </w:r>
          </w:p>
        </w:tc>
        <w:tc>
          <w:tcPr>
            <w:tcW w:w="4133" w:type="dxa"/>
            <w:shd w:val="clear" w:color="auto" w:fill="D9D9D9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Element oferty</w:t>
            </w:r>
          </w:p>
        </w:tc>
        <w:tc>
          <w:tcPr>
            <w:tcW w:w="4216" w:type="dxa"/>
            <w:shd w:val="clear" w:color="auto" w:fill="D9D9D9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Oferowane</w:t>
            </w:r>
          </w:p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 xml:space="preserve"> (wypełnia Wykonawca)</w:t>
            </w:r>
          </w:p>
        </w:tc>
      </w:tr>
      <w:tr w:rsidR="00F74259" w:rsidRPr="006B7B6A" w:rsidTr="0056789E">
        <w:trPr>
          <w:trHeight w:val="592"/>
        </w:trPr>
        <w:tc>
          <w:tcPr>
            <w:tcW w:w="654" w:type="dxa"/>
            <w:vAlign w:val="center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1</w:t>
            </w:r>
          </w:p>
        </w:tc>
        <w:tc>
          <w:tcPr>
            <w:tcW w:w="4133" w:type="dxa"/>
            <w:vAlign w:val="center"/>
          </w:tcPr>
          <w:p w:rsidR="00F74259" w:rsidRPr="006B7B6A" w:rsidRDefault="00F74259" w:rsidP="0056789E">
            <w:r w:rsidRPr="006B7B6A">
              <w:rPr>
                <w:rFonts w:ascii="Calibri" w:hAnsi="Calibri"/>
                <w:bCs/>
              </w:rPr>
              <w:t>Termin gwarancji</w:t>
            </w:r>
          </w:p>
        </w:tc>
        <w:tc>
          <w:tcPr>
            <w:tcW w:w="4216" w:type="dxa"/>
          </w:tcPr>
          <w:p w:rsidR="00F74259" w:rsidRPr="006B7B6A" w:rsidRDefault="00F74259" w:rsidP="0056789E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F74259" w:rsidRPr="006B7B6A" w:rsidRDefault="00F74259" w:rsidP="0056789E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6B7B6A">
              <w:rPr>
                <w:rFonts w:ascii="Calibri" w:hAnsi="Calibri"/>
                <w:bCs/>
                <w:sz w:val="20"/>
              </w:rPr>
              <w:t>………………………</w:t>
            </w:r>
            <w:r w:rsidRPr="006B7B6A">
              <w:rPr>
                <w:rFonts w:ascii="Calibri" w:hAnsi="Calibri"/>
                <w:bCs/>
              </w:rPr>
              <w:t xml:space="preserve"> miesięcy</w:t>
            </w:r>
          </w:p>
        </w:tc>
      </w:tr>
    </w:tbl>
    <w:p w:rsidR="00F74259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roboty stanowiące przedmiot niniejszego zamówienia wykonamy:</w:t>
      </w:r>
    </w:p>
    <w:p w:rsidR="00F74259" w:rsidRPr="00277D9D" w:rsidRDefault="00F74259" w:rsidP="00F74259">
      <w:pPr>
        <w:pStyle w:val="pkt"/>
        <w:spacing w:before="120" w:after="120"/>
        <w:ind w:left="993" w:firstLine="0"/>
        <w:rPr>
          <w:rFonts w:asciiTheme="minorHAnsi" w:hAnsiTheme="minorHAnsi"/>
          <w:b/>
          <w:szCs w:val="24"/>
        </w:rPr>
      </w:pPr>
      <w:r w:rsidRPr="00B938B2">
        <w:rPr>
          <w:rFonts w:asciiTheme="minorHAnsi" w:hAnsiTheme="minorHAnsi"/>
          <w:sz w:val="22"/>
          <w:szCs w:val="22"/>
        </w:rPr>
        <w:t xml:space="preserve">nie później niż do dnia </w:t>
      </w:r>
      <w:r>
        <w:rPr>
          <w:rFonts w:asciiTheme="minorHAnsi" w:hAnsiTheme="minorHAnsi"/>
          <w:b/>
          <w:sz w:val="22"/>
          <w:szCs w:val="22"/>
        </w:rPr>
        <w:t>30 dni od daty podpisania umowy.</w:t>
      </w:r>
    </w:p>
    <w:p w:rsidR="00F74259" w:rsidRPr="00B653D8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F74259" w:rsidRDefault="00F74259" w:rsidP="00F74259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</w:rPr>
      </w:pPr>
      <w:r w:rsidRPr="00504AFE">
        <w:rPr>
          <w:rFonts w:ascii="Calibri" w:hAnsi="Calibri"/>
        </w:rPr>
        <w:t>do 30 dni</w:t>
      </w:r>
      <w:r w:rsidRPr="00B653D8">
        <w:rPr>
          <w:rFonts w:ascii="Calibri" w:hAnsi="Calibri"/>
        </w:rPr>
        <w:t xml:space="preserve"> od daty otrzymania faktury przez zamawiającego</w:t>
      </w:r>
      <w:r w:rsidRPr="002E5080">
        <w:rPr>
          <w:rFonts w:ascii="Calibri" w:hAnsi="Calibri"/>
          <w:b/>
        </w:rPr>
        <w:t>.</w:t>
      </w:r>
    </w:p>
    <w:p w:rsidR="009333AE" w:rsidRPr="009333AE" w:rsidRDefault="009333AE" w:rsidP="009333AE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333AE">
        <w:rPr>
          <w:rFonts w:cs="Times New Roman"/>
          <w:b/>
        </w:rPr>
        <w:t>zgodnie z zał</w:t>
      </w:r>
      <w:r w:rsidRPr="009333AE">
        <w:rPr>
          <w:rFonts w:eastAsia="TimesNewRoman" w:cs="TimesNewRoman"/>
          <w:b/>
        </w:rPr>
        <w:t>ą</w:t>
      </w:r>
      <w:r w:rsidRPr="009333AE">
        <w:rPr>
          <w:rFonts w:cs="Times New Roman"/>
          <w:b/>
        </w:rPr>
        <w:t>czoną specyfikacją parametrów.</w:t>
      </w:r>
    </w:p>
    <w:p w:rsidR="00F74259" w:rsidRPr="006342AA" w:rsidRDefault="00F74259" w:rsidP="00F74259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before="120" w:after="240" w:line="240" w:lineRule="auto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before="240"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bCs/>
          <w:color w:val="000000"/>
        </w:rPr>
        <w:t xml:space="preserve">OŚWIADCZAMY, że wolą naszą jest wykonanie zamówienia zgodnie z wymaganiami </w:t>
      </w:r>
      <w:proofErr w:type="spellStart"/>
      <w:r w:rsidRPr="00D22DA6">
        <w:rPr>
          <w:bCs/>
          <w:color w:val="000000"/>
        </w:rPr>
        <w:t>SIWZ</w:t>
      </w:r>
      <w:proofErr w:type="spellEnd"/>
      <w:r w:rsidRPr="00D22DA6">
        <w:rPr>
          <w:bCs/>
          <w:color w:val="000000"/>
        </w:rPr>
        <w:t xml:space="preserve">, a także zobowiązujemy się podpisać umowę wg wzoru załączonego do </w:t>
      </w:r>
      <w:proofErr w:type="spellStart"/>
      <w:r w:rsidRPr="00D22DA6">
        <w:rPr>
          <w:bCs/>
          <w:color w:val="000000"/>
        </w:rPr>
        <w:t>SIWZ</w:t>
      </w:r>
      <w:proofErr w:type="spellEnd"/>
      <w:r w:rsidRPr="00D22DA6">
        <w:rPr>
          <w:bCs/>
          <w:color w:val="000000"/>
        </w:rPr>
        <w:t xml:space="preserve"> i nie wnosimy do niej zastrzeżeń.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>UWAŻAM</w:t>
      </w:r>
      <w:r>
        <w:rPr>
          <w:rFonts w:cs="Arial"/>
          <w:lang w:eastAsia="pl-PL"/>
        </w:rPr>
        <w:t>Y</w:t>
      </w:r>
      <w:r w:rsidRPr="00D22DA6">
        <w:rPr>
          <w:rFonts w:cs="Arial"/>
          <w:lang w:eastAsia="pl-PL"/>
        </w:rPr>
        <w:t xml:space="preserve"> się za związanych niniejszą ofertą przez czas wskazany w </w:t>
      </w:r>
      <w:proofErr w:type="spellStart"/>
      <w:r w:rsidRPr="00D22DA6">
        <w:rPr>
          <w:rFonts w:cs="Arial"/>
          <w:lang w:eastAsia="pl-PL"/>
        </w:rPr>
        <w:t>SIWZ</w:t>
      </w:r>
      <w:proofErr w:type="spellEnd"/>
      <w:r w:rsidRPr="00D22DA6">
        <w:rPr>
          <w:rFonts w:cs="Arial"/>
          <w:lang w:eastAsia="pl-PL"/>
        </w:rPr>
        <w:t xml:space="preserve">, tj. przez okres </w:t>
      </w:r>
      <w:r w:rsidRPr="008A0089">
        <w:rPr>
          <w:rFonts w:cs="Arial"/>
          <w:b/>
          <w:lang w:eastAsia="pl-PL"/>
        </w:rPr>
        <w:t>30 dni</w:t>
      </w:r>
      <w:r w:rsidRPr="00D22DA6">
        <w:rPr>
          <w:rFonts w:cs="Arial"/>
          <w:lang w:eastAsia="pl-PL"/>
        </w:rPr>
        <w:t xml:space="preserve"> od upływu terminu składania ofert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 xml:space="preserve">OŚWIADCZAM, że zgodnie z wymaganiami wskazanymi w </w:t>
      </w:r>
      <w:proofErr w:type="spellStart"/>
      <w:r>
        <w:rPr>
          <w:rFonts w:cs="Arial"/>
          <w:lang w:eastAsia="pl-PL"/>
        </w:rPr>
        <w:t>pkt</w:t>
      </w:r>
      <w:proofErr w:type="spellEnd"/>
      <w:r>
        <w:rPr>
          <w:rFonts w:cs="Arial"/>
          <w:lang w:eastAsia="pl-PL"/>
        </w:rPr>
        <w:t xml:space="preserve"> 6SIWZ</w:t>
      </w:r>
      <w:r w:rsidRPr="00D22DA6">
        <w:rPr>
          <w:rFonts w:cs="Arial"/>
          <w:lang w:eastAsia="pl-PL"/>
        </w:rPr>
        <w:t xml:space="preserve"> do realizacji zamówienia przy czynnościach określonych w </w:t>
      </w:r>
      <w:proofErr w:type="spellStart"/>
      <w:r w:rsidRPr="00D22DA6">
        <w:rPr>
          <w:rFonts w:cs="Arial"/>
          <w:lang w:eastAsia="pl-PL"/>
        </w:rPr>
        <w:t>SIWZ</w:t>
      </w:r>
      <w:proofErr w:type="spellEnd"/>
      <w:r w:rsidRPr="00D22DA6">
        <w:rPr>
          <w:rFonts w:cs="Arial"/>
          <w:lang w:eastAsia="pl-PL"/>
        </w:rPr>
        <w:t xml:space="preserve"> zaangażuję osoby zatrudnione na podstawie umowy o pracę w rozumieniu przepis</w:t>
      </w:r>
      <w:r>
        <w:rPr>
          <w:rFonts w:cs="Arial"/>
          <w:lang w:eastAsia="pl-PL"/>
        </w:rPr>
        <w:t>ów ustawy z dnia 26 czerwca 1974</w:t>
      </w:r>
      <w:r w:rsidRPr="00D22DA6">
        <w:rPr>
          <w:rFonts w:cs="Arial"/>
          <w:lang w:eastAsia="pl-PL"/>
        </w:rPr>
        <w:t xml:space="preserve"> r. - Kodeks pracy 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 xml:space="preserve">OŚWIADCZAM, iż informacje i dokumenty zawarte na stronach </w:t>
      </w:r>
      <w:proofErr w:type="spellStart"/>
      <w:r w:rsidRPr="00D22DA6">
        <w:rPr>
          <w:rFonts w:cs="Arial"/>
          <w:lang w:eastAsia="pl-PL"/>
        </w:rPr>
        <w:t>nr</w:t>
      </w:r>
      <w:proofErr w:type="spellEnd"/>
      <w:r w:rsidRPr="00D22DA6">
        <w:rPr>
          <w:rFonts w:cs="Arial"/>
          <w:lang w:eastAsia="pl-PL"/>
        </w:rPr>
        <w:t xml:space="preserve"> od _____ do _____ </w:t>
      </w:r>
      <w:r>
        <w:rPr>
          <w:rFonts w:cs="Arial"/>
          <w:lang w:eastAsia="pl-PL"/>
        </w:rPr>
        <w:t>*</w:t>
      </w:r>
      <w:r w:rsidRPr="00D22DA6">
        <w:rPr>
          <w:rFonts w:cs="Arial"/>
          <w:lang w:eastAsia="pl-PL"/>
        </w:rPr>
        <w:t xml:space="preserve">stanowią tajemnicę przedsiębiorstwa w rozumieniu przepisów o zwalczaniu nieuczciwej konkurencji, co wykazaliśmy w załączniku </w:t>
      </w:r>
      <w:proofErr w:type="spellStart"/>
      <w:r w:rsidRPr="00D22DA6">
        <w:rPr>
          <w:rFonts w:cs="Arial"/>
          <w:lang w:eastAsia="pl-PL"/>
        </w:rPr>
        <w:t>nr</w:t>
      </w:r>
      <w:proofErr w:type="spellEnd"/>
      <w:r w:rsidRPr="00D22DA6">
        <w:rPr>
          <w:rFonts w:cs="Arial"/>
          <w:lang w:eastAsia="pl-PL"/>
        </w:rPr>
        <w:t xml:space="preserve"> _________ </w:t>
      </w:r>
      <w:r>
        <w:rPr>
          <w:rFonts w:cs="Arial"/>
          <w:lang w:eastAsia="pl-PL"/>
        </w:rPr>
        <w:t>*</w:t>
      </w:r>
      <w:r w:rsidRPr="00D22DA6">
        <w:rPr>
          <w:rFonts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D22DA6">
        <w:rPr>
          <w:rFonts w:cs="Arial"/>
          <w:lang w:eastAsia="pl-PL"/>
        </w:rPr>
        <w:t>p.z.p</w:t>
      </w:r>
      <w:proofErr w:type="spellEnd"/>
      <w:r w:rsidRPr="00D22DA6">
        <w:rPr>
          <w:rFonts w:cs="Arial"/>
          <w:lang w:eastAsia="pl-PL"/>
        </w:rPr>
        <w:t xml:space="preserve">. </w:t>
      </w:r>
      <w:r w:rsidRPr="00D22DA6">
        <w:rPr>
          <w:rFonts w:cs="Arial"/>
          <w:lang w:eastAsia="pl-PL"/>
        </w:rPr>
        <w:tab/>
      </w:r>
    </w:p>
    <w:p w:rsidR="00F74259" w:rsidRPr="004473BF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F74259" w:rsidRPr="004473BF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right="142"/>
        <w:jc w:val="both"/>
        <w:rPr>
          <w:b/>
          <w:bCs/>
          <w:color w:val="000000"/>
        </w:rPr>
      </w:pPr>
      <w:r w:rsidRPr="005A1611">
        <w:rPr>
          <w:rFonts w:cs="Arial"/>
          <w:color w:val="000000"/>
        </w:rPr>
        <w:t xml:space="preserve">„Oświadczam, </w:t>
      </w:r>
      <w:proofErr w:type="spellStart"/>
      <w:r w:rsidRPr="005A1611">
        <w:rPr>
          <w:rFonts w:cs="Arial"/>
          <w:color w:val="000000"/>
        </w:rPr>
        <w:t>żewypełniłem</w:t>
      </w:r>
      <w:proofErr w:type="spellEnd"/>
      <w:r w:rsidRPr="005A1611">
        <w:rPr>
          <w:rFonts w:cs="Arial"/>
          <w:color w:val="000000"/>
        </w:rPr>
        <w:t xml:space="preserve"> obowiązki informacyjne przewidziane w art. 13lubart. 14RODOwobec osób fizycznych, </w:t>
      </w:r>
      <w:r w:rsidRPr="005A1611">
        <w:rPr>
          <w:rFonts w:cs="Arial"/>
        </w:rPr>
        <w:t xml:space="preserve">od których dane osobowe bezpośrednio lub pośrednio </w:t>
      </w:r>
      <w:proofErr w:type="spellStart"/>
      <w:r w:rsidRPr="005A1611">
        <w:rPr>
          <w:rFonts w:cs="Arial"/>
        </w:rPr>
        <w:lastRenderedPageBreak/>
        <w:t>pozyskałem</w:t>
      </w:r>
      <w:r w:rsidRPr="005A1611">
        <w:rPr>
          <w:rFonts w:cs="Arial"/>
          <w:color w:val="000000"/>
        </w:rPr>
        <w:t>w</w:t>
      </w:r>
      <w:proofErr w:type="spellEnd"/>
      <w:r w:rsidRPr="005A1611">
        <w:rPr>
          <w:rFonts w:cs="Arial"/>
          <w:color w:val="000000"/>
        </w:rPr>
        <w:t xml:space="preserve"> celu ubiegania się o udzielenie zamówienia publicznego w niniejszym postępowaniu</w:t>
      </w:r>
      <w:r>
        <w:rPr>
          <w:rFonts w:cs="Arial"/>
          <w:color w:val="000000"/>
        </w:rPr>
        <w:t>**</w:t>
      </w:r>
    </w:p>
    <w:p w:rsidR="00F74259" w:rsidRPr="006723E8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>ZAMÓWIENIE ZREALIZUJEMY samodzielnie*/przy udziale podwykonawców w następującym zakresie *:</w:t>
      </w:r>
    </w:p>
    <w:p w:rsidR="00F74259" w:rsidRDefault="00F74259" w:rsidP="00F74259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F74259" w:rsidRDefault="00F74259" w:rsidP="00F74259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NR KONTA BANKOWEGO WYKONAWCY: </w:t>
      </w:r>
      <w:r w:rsidRPr="00517632">
        <w:rPr>
          <w:bCs/>
          <w:color w:val="000000"/>
          <w:sz w:val="20"/>
          <w:szCs w:val="20"/>
        </w:rPr>
        <w:t>…………………………………</w:t>
      </w:r>
      <w:r>
        <w:rPr>
          <w:bCs/>
          <w:color w:val="000000"/>
          <w:sz w:val="20"/>
          <w:szCs w:val="20"/>
        </w:rPr>
        <w:t>………..</w:t>
      </w:r>
      <w:r w:rsidRPr="00517632">
        <w:rPr>
          <w:bCs/>
          <w:color w:val="000000"/>
          <w:sz w:val="20"/>
          <w:szCs w:val="20"/>
        </w:rPr>
        <w:t>………………………………………</w:t>
      </w:r>
    </w:p>
    <w:p w:rsidR="00F74259" w:rsidRPr="006342AA" w:rsidRDefault="00F74259" w:rsidP="00F74259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3880"/>
        <w:gridCol w:w="3885"/>
      </w:tblGrid>
      <w:tr w:rsidR="00F74259" w:rsidRPr="006E12B3" w:rsidTr="0056789E">
        <w:tc>
          <w:tcPr>
            <w:tcW w:w="534" w:type="dxa"/>
            <w:shd w:val="clear" w:color="auto" w:fill="D9D9D9"/>
            <w:vAlign w:val="center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</w:rPr>
            </w:pPr>
            <w:r w:rsidRPr="006E12B3"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</w:rPr>
            </w:pPr>
            <w:r w:rsidRPr="006E12B3">
              <w:rPr>
                <w:rFonts w:ascii="Calibri" w:hAnsi="Calibri"/>
                <w:color w:val="000000"/>
              </w:rPr>
              <w:t xml:space="preserve">Zakres robót </w:t>
            </w:r>
            <w:r>
              <w:rPr>
                <w:rFonts w:ascii="Calibri" w:hAnsi="Calibri"/>
                <w:color w:val="000000"/>
              </w:rPr>
              <w:t>podwykonawcy</w:t>
            </w:r>
          </w:p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Jeżeli jest to wiadome należy podać dane proponowanych wykonawców</w:t>
            </w:r>
          </w:p>
        </w:tc>
      </w:tr>
      <w:tr w:rsidR="00F74259" w:rsidRPr="006E12B3" w:rsidTr="0056789E">
        <w:tc>
          <w:tcPr>
            <w:tcW w:w="534" w:type="dxa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</w:tc>
        <w:tc>
          <w:tcPr>
            <w:tcW w:w="4111" w:type="dxa"/>
          </w:tcPr>
          <w:p w:rsidR="00F74259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</w:tc>
        <w:tc>
          <w:tcPr>
            <w:tcW w:w="4110" w:type="dxa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</w:tc>
      </w:tr>
    </w:tbl>
    <w:p w:rsidR="00F74259" w:rsidRPr="00BE08B7" w:rsidRDefault="00F74259" w:rsidP="00F74259">
      <w:pPr>
        <w:jc w:val="both"/>
        <w:rPr>
          <w:rFonts w:ascii="Calibri" w:hAnsi="Calibri"/>
        </w:rPr>
      </w:pPr>
    </w:p>
    <w:p w:rsidR="00F74259" w:rsidRPr="00280462" w:rsidRDefault="00F74259" w:rsidP="00F74259">
      <w:pPr>
        <w:jc w:val="both"/>
        <w:rPr>
          <w:rFonts w:ascii="Calibri" w:hAnsi="Calibri"/>
          <w:b/>
        </w:rPr>
      </w:pPr>
    </w:p>
    <w:p w:rsidR="00F74259" w:rsidRPr="00280462" w:rsidRDefault="00F74259" w:rsidP="00F74259">
      <w:pPr>
        <w:jc w:val="both"/>
        <w:rPr>
          <w:rFonts w:ascii="Calibri" w:hAnsi="Calibri"/>
          <w:b/>
        </w:rPr>
      </w:pPr>
      <w:r w:rsidRPr="00280462">
        <w:rPr>
          <w:rFonts w:ascii="Calibri" w:hAnsi="Calibri"/>
          <w:b/>
        </w:rPr>
        <w:t>Załącznikami do niniejszej oferty są:</w:t>
      </w:r>
    </w:p>
    <w:p w:rsidR="00F74259" w:rsidRPr="00280462" w:rsidRDefault="00F74259" w:rsidP="00F74259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F74259" w:rsidRPr="00280462" w:rsidRDefault="00F74259" w:rsidP="00F74259">
      <w:pPr>
        <w:jc w:val="both"/>
        <w:rPr>
          <w:rFonts w:ascii="Calibri" w:hAnsi="Calibri"/>
          <w:i/>
        </w:rPr>
      </w:pP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F74259" w:rsidRPr="00280462" w:rsidTr="0056789E">
        <w:trPr>
          <w:jc w:val="center"/>
        </w:trPr>
        <w:tc>
          <w:tcPr>
            <w:tcW w:w="4930" w:type="dxa"/>
          </w:tcPr>
          <w:p w:rsidR="00F74259" w:rsidRPr="00280462" w:rsidRDefault="00F74259" w:rsidP="0056789E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F74259" w:rsidRPr="00280462" w:rsidRDefault="00F74259" w:rsidP="0056789E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F74259" w:rsidRPr="00280462" w:rsidRDefault="00F74259" w:rsidP="0056789E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F74259" w:rsidRPr="00280462" w:rsidRDefault="00F74259" w:rsidP="0056789E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F74259" w:rsidRDefault="00F74259" w:rsidP="00F74259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F74259" w:rsidRDefault="00F74259" w:rsidP="00F74259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F74259" w:rsidRPr="00F017EA" w:rsidRDefault="00F74259" w:rsidP="00F74259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F017EA">
        <w:rPr>
          <w:rFonts w:ascii="Calibri" w:hAnsi="Calibri"/>
          <w:bCs/>
          <w:sz w:val="20"/>
        </w:rPr>
        <w:t>*Niepotrzebne skreślić</w:t>
      </w:r>
    </w:p>
    <w:p w:rsidR="00F74259" w:rsidRPr="00F017EA" w:rsidRDefault="00F74259" w:rsidP="00F74259">
      <w:pPr>
        <w:pStyle w:val="NormalnyWeb"/>
        <w:spacing w:before="0"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**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D5FE5">
        <w:rPr>
          <w:rFonts w:asciiTheme="minorHAnsi" w:hAnsiTheme="minorHAnsi" w:cs="Arial"/>
        </w:rPr>
        <w:t>RODO</w:t>
      </w:r>
      <w:proofErr w:type="spellEnd"/>
      <w:r w:rsidRPr="001D5FE5">
        <w:rPr>
          <w:rFonts w:asciiTheme="minorHAnsi" w:hAnsiTheme="minorHAnsi" w:cs="Arial"/>
        </w:rPr>
        <w:t xml:space="preserve"> treści oświadczenia wykonawca nie składa (usunięcie treści oświadcz</w:t>
      </w:r>
      <w:r>
        <w:rPr>
          <w:rFonts w:asciiTheme="minorHAnsi" w:hAnsiTheme="minorHAnsi" w:cs="Arial"/>
        </w:rPr>
        <w:t>enia np. przez jego wykreślenie</w:t>
      </w:r>
    </w:p>
    <w:p w:rsidR="00F74259" w:rsidRDefault="00F74259" w:rsidP="00F74259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74259" w:rsidRDefault="00F74259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  <w:sectPr w:rsidR="009333AE" w:rsidSect="00F74259">
          <w:pgSz w:w="11906" w:h="16838"/>
          <w:pgMar w:top="1276" w:right="1418" w:bottom="851" w:left="1418" w:header="709" w:footer="709" w:gutter="0"/>
          <w:cols w:space="708"/>
          <w:docGrid w:linePitch="360"/>
        </w:sectPr>
      </w:pPr>
    </w:p>
    <w:p w:rsidR="009333AE" w:rsidRDefault="009333AE" w:rsidP="0051247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SPECYFIKACJA</w:t>
      </w:r>
      <w:r w:rsidR="00C31A2A">
        <w:rPr>
          <w:rFonts w:cs="Times New Roman"/>
          <w:b/>
        </w:rPr>
        <w:t xml:space="preserve"> TECHNICZNA</w:t>
      </w:r>
    </w:p>
    <w:p w:rsidR="009333AE" w:rsidRDefault="009333AE" w:rsidP="0051247C">
      <w:pPr>
        <w:spacing w:after="0" w:line="240" w:lineRule="auto"/>
        <w:rPr>
          <w:rFonts w:ascii="Calibri" w:hAnsi="Calibri"/>
          <w:b/>
          <w:bCs/>
          <w:color w:val="000000"/>
          <w:spacing w:val="1"/>
        </w:rPr>
      </w:pPr>
      <w:r>
        <w:rPr>
          <w:b/>
        </w:rPr>
        <w:t>Załącznik do oferty Część 1</w:t>
      </w:r>
      <w:r w:rsidRPr="009333AE">
        <w:rPr>
          <w:rFonts w:ascii="Calibri" w:hAnsi="Calibri"/>
          <w:b/>
          <w:bCs/>
          <w:color w:val="000000"/>
          <w:spacing w:val="1"/>
        </w:rPr>
        <w:t xml:space="preserve"> </w:t>
      </w:r>
      <w:r>
        <w:rPr>
          <w:rFonts w:ascii="Calibri" w:hAnsi="Calibri"/>
          <w:b/>
          <w:bCs/>
          <w:color w:val="000000"/>
          <w:spacing w:val="1"/>
        </w:rPr>
        <w:t>Nazwa: Dostawa serwera wraz z oprogramowaniem</w:t>
      </w:r>
    </w:p>
    <w:p w:rsidR="00D06D65" w:rsidRDefault="00D06D65" w:rsidP="0051247C">
      <w:pPr>
        <w:spacing w:after="0" w:line="240" w:lineRule="auto"/>
        <w:rPr>
          <w:b/>
        </w:rPr>
      </w:pPr>
    </w:p>
    <w:p w:rsidR="003D6E1E" w:rsidRPr="00F30371" w:rsidRDefault="003D6E1E" w:rsidP="0051247C">
      <w:pPr>
        <w:spacing w:after="0" w:line="240" w:lineRule="auto"/>
        <w:rPr>
          <w:b/>
        </w:rPr>
      </w:pPr>
      <w:r w:rsidRPr="00F30371">
        <w:rPr>
          <w:b/>
        </w:rPr>
        <w:t xml:space="preserve">Tabela </w:t>
      </w:r>
      <w:proofErr w:type="spellStart"/>
      <w:r w:rsidRPr="00F30371">
        <w:rPr>
          <w:b/>
        </w:rPr>
        <w:t>nr</w:t>
      </w:r>
      <w:proofErr w:type="spellEnd"/>
      <w:r w:rsidRPr="00F30371">
        <w:rPr>
          <w:b/>
        </w:rPr>
        <w:t xml:space="preserve"> 1  - </w:t>
      </w:r>
      <w:r>
        <w:rPr>
          <w:b/>
        </w:rPr>
        <w:t>serwer</w:t>
      </w:r>
      <w:r w:rsidRPr="00B66C6F">
        <w:rPr>
          <w:b/>
        </w:rPr>
        <w:t xml:space="preserve"> </w:t>
      </w:r>
      <w:r w:rsidRPr="00F30371">
        <w:rPr>
          <w:b/>
        </w:rPr>
        <w:t xml:space="preserve"> – ilość </w:t>
      </w:r>
      <w:r>
        <w:rPr>
          <w:b/>
        </w:rPr>
        <w:t>1</w:t>
      </w:r>
      <w:r w:rsidRPr="00F30371">
        <w:rPr>
          <w:b/>
        </w:rPr>
        <w:t xml:space="preserve"> szt.</w:t>
      </w:r>
    </w:p>
    <w:p w:rsidR="003D6E1E" w:rsidRPr="00F30371" w:rsidRDefault="003D6E1E" w:rsidP="0051247C">
      <w:pPr>
        <w:spacing w:after="0" w:line="240" w:lineRule="auto"/>
        <w:jc w:val="center"/>
      </w:pPr>
      <w:r w:rsidRPr="00F30371">
        <w:t>…………………………………………………….……………………………………………………………………..</w:t>
      </w:r>
    </w:p>
    <w:p w:rsidR="003D6E1E" w:rsidRPr="0051247C" w:rsidRDefault="003D6E1E" w:rsidP="0051247C">
      <w:pPr>
        <w:spacing w:after="0" w:line="240" w:lineRule="auto"/>
        <w:jc w:val="center"/>
        <w:rPr>
          <w:i/>
          <w:sz w:val="20"/>
          <w:szCs w:val="20"/>
        </w:rPr>
      </w:pPr>
      <w:r w:rsidRPr="0051247C">
        <w:rPr>
          <w:i/>
          <w:sz w:val="20"/>
          <w:szCs w:val="20"/>
        </w:rPr>
        <w:t>(typ, model, nazwa producenta)</w:t>
      </w:r>
    </w:p>
    <w:tbl>
      <w:tblPr>
        <w:tblpPr w:leftFromText="141" w:rightFromText="141" w:vertAnchor="text" w:horzAnchor="margin" w:tblpY="391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89"/>
        <w:gridCol w:w="2952"/>
        <w:gridCol w:w="5832"/>
        <w:gridCol w:w="5832"/>
      </w:tblGrid>
      <w:tr w:rsidR="003D6E1E" w:rsidRPr="0051247C" w:rsidTr="0051247C">
        <w:tc>
          <w:tcPr>
            <w:tcW w:w="689" w:type="dxa"/>
            <w:shd w:val="pct10" w:color="auto" w:fill="auto"/>
            <w:vAlign w:val="center"/>
          </w:tcPr>
          <w:p w:rsidR="003D6E1E" w:rsidRPr="0051247C" w:rsidRDefault="003D6E1E" w:rsidP="003D6E1E">
            <w:pPr>
              <w:pStyle w:val="Nagwek1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51247C"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2952" w:type="dxa"/>
            <w:shd w:val="pct10" w:color="auto" w:fill="auto"/>
            <w:vAlign w:val="center"/>
          </w:tcPr>
          <w:p w:rsidR="003D6E1E" w:rsidRPr="0051247C" w:rsidRDefault="003D6E1E" w:rsidP="003D6E1E">
            <w:pPr>
              <w:pStyle w:val="Nagwek1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51247C"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  <w:t>Parametr</w:t>
            </w:r>
          </w:p>
        </w:tc>
        <w:tc>
          <w:tcPr>
            <w:tcW w:w="5832" w:type="dxa"/>
            <w:shd w:val="pct10" w:color="auto" w:fill="auto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5832" w:type="dxa"/>
            <w:shd w:val="pct10" w:color="auto" w:fill="auto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3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Maksymalnie 2U do instalacji w standardowej szafie RACK 19”, dostarczona wraz z szynami z funkcjonalnością wysuwania serwera do celów serwisowych </w:t>
            </w:r>
            <w:r w:rsidRPr="0051247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oraz ramieniem do zarządzania przewodami.</w:t>
            </w:r>
          </w:p>
          <w:p w:rsidR="003D6E1E" w:rsidRPr="0051247C" w:rsidRDefault="003D6E1E" w:rsidP="003D6E1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73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Możliwość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montażu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min.16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dysków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twardych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SAS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>/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SSD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>/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SATA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2,5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cala</w:t>
            </w:r>
            <w:bookmarkStart w:id="1" w:name="_GoBack"/>
            <w:bookmarkEnd w:id="1"/>
            <w:proofErr w:type="spellEnd"/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ind w:left="1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sz w:val="20"/>
                <w:szCs w:val="20"/>
                <w:lang w:eastAsia="pl-PL"/>
              </w:rPr>
            </w:pPr>
            <w:r w:rsidRPr="0051247C">
              <w:rPr>
                <w:rFonts w:cs="Calibri"/>
                <w:sz w:val="20"/>
                <w:szCs w:val="20"/>
              </w:rPr>
              <w:t>Płyta główna z możliwością zainstalowania do dwóch procesorów fizycznych .</w:t>
            </w:r>
          </w:p>
          <w:p w:rsidR="003D6E1E" w:rsidRPr="0051247C" w:rsidRDefault="003D6E1E" w:rsidP="003D6E1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sz w:val="20"/>
                <w:szCs w:val="20"/>
                <w:lang w:eastAsia="pl-PL"/>
              </w:rPr>
            </w:pPr>
            <w:r w:rsidRPr="0051247C">
              <w:rPr>
                <w:sz w:val="20"/>
                <w:szCs w:val="20"/>
                <w:lang w:eastAsia="pl-PL"/>
              </w:rPr>
              <w:t>Płyta główna musi być zaprojektowana przez producenta serwera i oznaczona jego znakiem firmowym.</w:t>
            </w:r>
          </w:p>
          <w:p w:rsidR="003D6E1E" w:rsidRPr="0051247C" w:rsidRDefault="003D6E1E" w:rsidP="003D6E1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sz w:val="20"/>
                <w:szCs w:val="20"/>
                <w:lang w:eastAsia="pl-PL"/>
              </w:rPr>
            </w:pPr>
            <w:r w:rsidRPr="0051247C">
              <w:rPr>
                <w:sz w:val="20"/>
                <w:szCs w:val="20"/>
                <w:lang w:eastAsia="pl-PL"/>
              </w:rPr>
              <w:t>Płyta główna musi obsługiwać min. 2 TB pamięci RAM.</w:t>
            </w:r>
          </w:p>
          <w:p w:rsidR="003D6E1E" w:rsidRPr="0051247C" w:rsidRDefault="003D6E1E" w:rsidP="003D6E1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sz w:val="20"/>
                <w:szCs w:val="20"/>
                <w:lang w:eastAsia="pl-PL"/>
              </w:rPr>
            </w:pPr>
            <w:r w:rsidRPr="0051247C">
              <w:rPr>
                <w:rFonts w:cs="Calibri"/>
                <w:sz w:val="20"/>
                <w:szCs w:val="20"/>
              </w:rPr>
              <w:t>na płycie głównej powinno znajdować się minimum 24 sloty przeznaczone dla pamięci RAM.</w:t>
            </w:r>
          </w:p>
          <w:p w:rsidR="003D6E1E" w:rsidRPr="0051247C" w:rsidRDefault="003D6E1E" w:rsidP="003D6E1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Style w:val="A8"/>
                <w:sz w:val="20"/>
                <w:szCs w:val="20"/>
              </w:rPr>
              <w:t xml:space="preserve">Płyta główna powinna obsługiwać pamięć RAM typu </w:t>
            </w:r>
            <w:r w:rsidRPr="0051247C">
              <w:rPr>
                <w:sz w:val="20"/>
                <w:szCs w:val="20"/>
              </w:rPr>
              <w:t>DDR4 (RDIMM, LRDIMM lub NVDIMM).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pStyle w:val="Bezodstpw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Zainstalowane dwa procesory w architekturze x64 osiągające wynik min. 23300 pkt w teście  CPU Mark dostępnym na stronie </w:t>
            </w:r>
            <w:hyperlink r:id="rId5" w:history="1">
              <w:r w:rsidRPr="0051247C">
                <w:rPr>
                  <w:rStyle w:val="Hipercze"/>
                  <w:sz w:val="20"/>
                  <w:szCs w:val="20"/>
                </w:rPr>
                <w:t>www.cpubenchmark.net</w:t>
              </w:r>
            </w:hyperlink>
            <w:r w:rsidRPr="0051247C">
              <w:rPr>
                <w:rFonts w:cs="Calibri"/>
                <w:sz w:val="20"/>
                <w:szCs w:val="20"/>
              </w:rPr>
              <w:t xml:space="preserve"> dla dwóch procesorów.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Minimum 192 GB pamięci RAM typu RDIMM w kościach 32 GB o częstotliwości pracy minimum 2933 MHz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47C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5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47C">
              <w:rPr>
                <w:b/>
                <w:sz w:val="20"/>
                <w:szCs w:val="20"/>
              </w:rPr>
              <w:t>Gniazda PCI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  <w:r w:rsidRPr="0051247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Minimum 3 gniazda x8 oraz minimum 1 gniazdo x16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333AE" w:rsidRDefault="009333AE"/>
    <w:tbl>
      <w:tblPr>
        <w:tblpPr w:leftFromText="141" w:rightFromText="141" w:vertAnchor="text" w:horzAnchor="margin" w:tblpY="391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89"/>
        <w:gridCol w:w="2952"/>
        <w:gridCol w:w="5832"/>
        <w:gridCol w:w="5832"/>
      </w:tblGrid>
      <w:tr w:rsidR="003D6E1E" w:rsidRPr="0051247C" w:rsidTr="0051247C">
        <w:trPr>
          <w:trHeight w:val="479"/>
        </w:trPr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 xml:space="preserve">Zintegrowana karta graficzna zapewniająca rozdzielczość min. 1920 x 1200.  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Interfejsy sieciowe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Minimum dziesięć interfejsów sieciowych 10Gb/s Ethernet </w:t>
            </w:r>
            <w:proofErr w:type="spellStart"/>
            <w:r w:rsidRPr="0051247C">
              <w:rPr>
                <w:rFonts w:cs="Calibri"/>
                <w:sz w:val="20"/>
                <w:szCs w:val="20"/>
              </w:rPr>
              <w:t>baseT</w:t>
            </w:r>
            <w:proofErr w:type="spellEnd"/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Wewnętrzny napęd DVD+/-RW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  <w:lang w:val="de-DE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 xml:space="preserve">Dyski twarde 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3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Możliwość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instalacji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dysków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SATA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SAS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SSD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. </w:t>
            </w:r>
          </w:p>
          <w:p w:rsidR="003D6E1E" w:rsidRPr="0051247C" w:rsidRDefault="003D6E1E" w:rsidP="003D6E1E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3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Zainstalowane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dyski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minimum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>:</w:t>
            </w:r>
          </w:p>
          <w:p w:rsidR="003D6E1E" w:rsidRPr="0051247C" w:rsidRDefault="003D6E1E" w:rsidP="003D6E1E">
            <w:pPr>
              <w:spacing w:line="276" w:lineRule="auto"/>
              <w:ind w:left="373"/>
              <w:rPr>
                <w:rFonts w:cs="Calibri"/>
                <w:sz w:val="20"/>
                <w:szCs w:val="20"/>
                <w:lang w:val="de-DE"/>
              </w:rPr>
            </w:pPr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3 x 480 GB SSD 2.5“ o do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różnych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zastosowań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wymieniane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bezwyłaczenia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systemu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Dyski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muszą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zapewnić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szybkość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przesyłania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danych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minimum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 12Gb/s, 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wartość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parametru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DWPD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(Drive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Writes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Per Day)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minimum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3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oraz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wartość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parametru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Style w:val="e24kjd"/>
                <w:sz w:val="20"/>
                <w:szCs w:val="20"/>
                <w:lang w:val="de-DE"/>
              </w:rPr>
              <w:t>TBW</w:t>
            </w:r>
            <w:proofErr w:type="spellEnd"/>
            <w:r w:rsidRPr="0051247C">
              <w:rPr>
                <w:rStyle w:val="e24kjd"/>
                <w:sz w:val="20"/>
                <w:szCs w:val="20"/>
                <w:lang w:val="de-DE"/>
              </w:rPr>
              <w:t xml:space="preserve"> (Total </w:t>
            </w:r>
            <w:proofErr w:type="spellStart"/>
            <w:r w:rsidRPr="0051247C">
              <w:rPr>
                <w:rStyle w:val="e24kjd"/>
                <w:sz w:val="20"/>
                <w:szCs w:val="20"/>
                <w:lang w:val="de-DE"/>
              </w:rPr>
              <w:t>BytesWritten</w:t>
            </w:r>
            <w:proofErr w:type="spellEnd"/>
            <w:r w:rsidRPr="0051247C">
              <w:rPr>
                <w:rStyle w:val="e24kjd"/>
                <w:sz w:val="20"/>
                <w:szCs w:val="20"/>
                <w:lang w:val="de-DE"/>
              </w:rPr>
              <w:t xml:space="preserve">)  </w:t>
            </w:r>
            <w:proofErr w:type="spellStart"/>
            <w:r w:rsidRPr="0051247C">
              <w:rPr>
                <w:rStyle w:val="e24kjd"/>
                <w:sz w:val="20"/>
                <w:szCs w:val="20"/>
                <w:lang w:val="de-DE"/>
              </w:rPr>
              <w:t>minimum</w:t>
            </w:r>
            <w:proofErr w:type="spellEnd"/>
            <w:r w:rsidRPr="0051247C">
              <w:rPr>
                <w:rStyle w:val="e24kjd"/>
                <w:sz w:val="20"/>
                <w:szCs w:val="20"/>
                <w:lang w:val="de-DE"/>
              </w:rPr>
              <w:t xml:space="preserve"> 2600</w:t>
            </w:r>
          </w:p>
          <w:p w:rsidR="003D6E1E" w:rsidRPr="0051247C" w:rsidRDefault="003D6E1E" w:rsidP="003D6E1E">
            <w:pPr>
              <w:spacing w:line="276" w:lineRule="auto"/>
              <w:ind w:left="373"/>
              <w:rPr>
                <w:rFonts w:cs="Calibri"/>
                <w:sz w:val="20"/>
                <w:szCs w:val="20"/>
                <w:lang w:val="de-DE"/>
              </w:rPr>
            </w:pPr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8 x 800 SSD GB 2.5“ o do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różnych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zastosowań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wymieniane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bezwyłaczenia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systemu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Dyski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muszą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zapewnić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szybkość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przesyłania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danychminimum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 12Gb/s, 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wartość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de-DE"/>
              </w:rPr>
              <w:t>parametru</w:t>
            </w:r>
            <w:proofErr w:type="spellEnd"/>
            <w:r w:rsidRPr="0051247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DWPD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(Drive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Writes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Per Day)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minimum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3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oraz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wartość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de-DE"/>
              </w:rPr>
              <w:t>parametru</w:t>
            </w:r>
            <w:proofErr w:type="spellEnd"/>
            <w:r w:rsidRPr="005124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47C">
              <w:rPr>
                <w:rStyle w:val="e24kjd"/>
                <w:sz w:val="20"/>
                <w:szCs w:val="20"/>
                <w:lang w:val="de-DE"/>
              </w:rPr>
              <w:t>TBW</w:t>
            </w:r>
            <w:proofErr w:type="spellEnd"/>
            <w:r w:rsidRPr="0051247C">
              <w:rPr>
                <w:rStyle w:val="e24kjd"/>
                <w:sz w:val="20"/>
                <w:szCs w:val="20"/>
                <w:lang w:val="de-DE"/>
              </w:rPr>
              <w:t xml:space="preserve"> (Total </w:t>
            </w:r>
            <w:proofErr w:type="spellStart"/>
            <w:r w:rsidRPr="0051247C">
              <w:rPr>
                <w:rStyle w:val="e24kjd"/>
                <w:sz w:val="20"/>
                <w:szCs w:val="20"/>
                <w:lang w:val="de-DE"/>
              </w:rPr>
              <w:t>BytesWritten</w:t>
            </w:r>
            <w:proofErr w:type="spellEnd"/>
            <w:r w:rsidRPr="0051247C">
              <w:rPr>
                <w:rStyle w:val="e24kjd"/>
                <w:sz w:val="20"/>
                <w:szCs w:val="20"/>
                <w:lang w:val="de-DE"/>
              </w:rPr>
              <w:t xml:space="preserve">)  </w:t>
            </w:r>
            <w:proofErr w:type="spellStart"/>
            <w:r w:rsidRPr="0051247C">
              <w:rPr>
                <w:rStyle w:val="e24kjd"/>
                <w:sz w:val="20"/>
                <w:szCs w:val="20"/>
                <w:lang w:val="de-DE"/>
              </w:rPr>
              <w:t>minimum</w:t>
            </w:r>
            <w:proofErr w:type="spellEnd"/>
            <w:r w:rsidRPr="0051247C">
              <w:rPr>
                <w:rStyle w:val="e24kjd"/>
                <w:sz w:val="20"/>
                <w:szCs w:val="20"/>
                <w:lang w:val="de-DE"/>
              </w:rPr>
              <w:t xml:space="preserve"> 4300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D6E1E" w:rsidRPr="0051247C" w:rsidTr="0051247C">
        <w:trPr>
          <w:trHeight w:val="1276"/>
        </w:trPr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 xml:space="preserve">Kontroler RAID 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Kontroler sprzętowy RAID. M</w:t>
            </w:r>
            <w:r w:rsidRPr="0051247C">
              <w:rPr>
                <w:rFonts w:cs="Segoe UI"/>
                <w:color w:val="000000"/>
                <w:sz w:val="20"/>
                <w:szCs w:val="20"/>
              </w:rPr>
              <w:t>ożliwe konfiguracje poziomów RAID:</w:t>
            </w:r>
            <w:r w:rsidRPr="0051247C">
              <w:rPr>
                <w:rFonts w:cs="Calibri"/>
                <w:sz w:val="20"/>
                <w:szCs w:val="20"/>
              </w:rPr>
              <w:t xml:space="preserve"> 0, 1, 5, 6, 10, 50, 60 obsługujący dyski  SATA, SAS, SSD z minimum 8 GB NV pamięci cache o minimalnym transferze danych 12Gb/s </w:t>
            </w:r>
            <w:r w:rsidRPr="0051247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oraz podtrzymaniem bateryjnym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val="de-DE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1247C">
              <w:rPr>
                <w:rFonts w:cs="Calibri"/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Bezodstpw"/>
              <w:jc w:val="both"/>
              <w:rPr>
                <w:sz w:val="20"/>
                <w:szCs w:val="20"/>
              </w:rPr>
            </w:pPr>
            <w:r w:rsidRPr="0051247C">
              <w:rPr>
                <w:sz w:val="20"/>
                <w:szCs w:val="20"/>
              </w:rPr>
              <w:t>Minimum 4 porty USB w tym minimum 2 porty typu USB 3.0, port VGA, 1 port szeregowy. Porty nie mogą zostać osiągnięte poprzez stosowanie dodatkowych adapterów lub przejściówek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Minimum podwójny nadmiarowy wymieniany bez wyłączenia </w:t>
            </w:r>
            <w:r w:rsidRPr="0051247C">
              <w:rPr>
                <w:rFonts w:cs="Calibri"/>
                <w:sz w:val="20"/>
                <w:szCs w:val="20"/>
              </w:rPr>
              <w:lastRenderedPageBreak/>
              <w:t>systemu zasilacz (1+1) 750W każdy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Redundantne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System operacyjny i licencje dostępowe (oprogramowanie)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Szczegółowy opis na stronie nr 4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Diagnostyka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51247C">
              <w:rPr>
                <w:rFonts w:cs="Calibri"/>
                <w:sz w:val="20"/>
                <w:szCs w:val="20"/>
              </w:rPr>
              <w:t>BIOS’u</w:t>
            </w:r>
            <w:proofErr w:type="spellEnd"/>
            <w:r w:rsidRPr="0051247C">
              <w:rPr>
                <w:rFonts w:cs="Calibri"/>
                <w:sz w:val="20"/>
                <w:szCs w:val="20"/>
              </w:rPr>
              <w:t>, zasilaniu oraz temperaturze.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Akapitzlist"/>
              <w:numPr>
                <w:ilvl w:val="0"/>
                <w:numId w:val="8"/>
              </w:numPr>
              <w:spacing w:line="276" w:lineRule="auto"/>
              <w:ind w:left="395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Niezależna od zainstalowanego na serwerze systemu operacyjnego posiadająca dedykowany port RJ-45 Gigabit Ethernet umożliwiająca: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zdalny dostęp do graficznego interfejsu Web karty zarządzającej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zdalne monitorowanie i informowanie o statusie serwera (m.in. prędkości obrotowej wentylatorów, konfiguracji serwera, )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szyfrowane połączenie (SSLv3) oraz autentykacje </w:t>
            </w:r>
            <w:r w:rsidRPr="0051247C">
              <w:rPr>
                <w:rFonts w:cs="Calibri"/>
                <w:sz w:val="20"/>
                <w:szCs w:val="20"/>
              </w:rPr>
              <w:br/>
              <w:t>i autoryzację użytkownika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możliwość podmontowania zdalnych wirtualnych napędów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wirtualną konsolę z dostępem do myszy, klawiatury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wsparcie dla IPv6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1247C">
              <w:rPr>
                <w:rFonts w:cs="Calibri"/>
                <w:sz w:val="20"/>
                <w:szCs w:val="20"/>
                <w:lang w:val="en-US"/>
              </w:rPr>
              <w:t>wsparciedla</w:t>
            </w:r>
            <w:proofErr w:type="spellEnd"/>
            <w:r w:rsidRPr="0051247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en-US"/>
              </w:rPr>
              <w:t>WSMAN</w:t>
            </w:r>
            <w:proofErr w:type="spellEnd"/>
            <w:r w:rsidRPr="0051247C">
              <w:rPr>
                <w:rFonts w:cs="Calibri"/>
                <w:sz w:val="20"/>
                <w:szCs w:val="20"/>
                <w:lang w:val="en-US"/>
              </w:rPr>
              <w:t xml:space="preserve"> (Web Service for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en-US"/>
              </w:rPr>
              <w:t>Managament</w:t>
            </w:r>
            <w:proofErr w:type="spellEnd"/>
            <w:r w:rsidRPr="0051247C">
              <w:rPr>
                <w:rFonts w:cs="Calibri"/>
                <w:sz w:val="20"/>
                <w:szCs w:val="20"/>
                <w:lang w:val="en-US"/>
              </w:rPr>
              <w:t xml:space="preserve">); SNMP; IPMI2.0, </w:t>
            </w:r>
            <w:proofErr w:type="spellStart"/>
            <w:r w:rsidRPr="0051247C">
              <w:rPr>
                <w:rFonts w:cs="Calibri"/>
                <w:sz w:val="20"/>
                <w:szCs w:val="20"/>
                <w:lang w:val="en-US"/>
              </w:rPr>
              <w:t>VLAN</w:t>
            </w:r>
            <w:proofErr w:type="spellEnd"/>
            <w:r w:rsidRPr="0051247C">
              <w:rPr>
                <w:rFonts w:cs="Calibri"/>
                <w:sz w:val="20"/>
                <w:szCs w:val="20"/>
                <w:lang w:val="en-US"/>
              </w:rPr>
              <w:t xml:space="preserve"> tagging, Telnet, SSH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możliwość zdalnego monitorowania w czasie rzeczywistym poboru prądu przez serwer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możliwość zdalnego ustawienia limitu poboru prądu przez konkretny serwer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integracja z Active Directory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możliwość obsł</w:t>
            </w:r>
            <w:r w:rsidR="000159F9">
              <w:rPr>
                <w:rFonts w:cs="Calibri"/>
                <w:sz w:val="20"/>
                <w:szCs w:val="20"/>
              </w:rPr>
              <w:t xml:space="preserve">ugi przez dwóch administratorów </w:t>
            </w:r>
            <w:r w:rsidRPr="0051247C">
              <w:rPr>
                <w:rFonts w:cs="Calibri"/>
                <w:sz w:val="20"/>
                <w:szCs w:val="20"/>
              </w:rPr>
              <w:t>jednocześnie</w:t>
            </w:r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lastRenderedPageBreak/>
              <w:t xml:space="preserve">wsparcie dla </w:t>
            </w:r>
            <w:proofErr w:type="spellStart"/>
            <w:r w:rsidRPr="0051247C">
              <w:rPr>
                <w:rFonts w:cs="Calibri"/>
                <w:sz w:val="20"/>
                <w:szCs w:val="20"/>
              </w:rPr>
              <w:t>dynamic</w:t>
            </w:r>
            <w:proofErr w:type="spellEnd"/>
            <w:r w:rsidRPr="0051247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247C">
              <w:rPr>
                <w:rFonts w:cs="Calibri"/>
                <w:sz w:val="20"/>
                <w:szCs w:val="20"/>
              </w:rPr>
              <w:t>DNS</w:t>
            </w:r>
            <w:proofErr w:type="spellEnd"/>
          </w:p>
          <w:p w:rsidR="003D6E1E" w:rsidRPr="0051247C" w:rsidRDefault="003D6E1E" w:rsidP="003D6E1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3D6E1E" w:rsidRPr="0051247C" w:rsidRDefault="003D6E1E" w:rsidP="003D6E1E">
            <w:pPr>
              <w:pStyle w:val="Default"/>
              <w:numPr>
                <w:ilvl w:val="0"/>
                <w:numId w:val="8"/>
              </w:numPr>
              <w:ind w:left="39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247C">
              <w:rPr>
                <w:rFonts w:asciiTheme="minorHAnsi" w:hAnsiTheme="minorHAnsi"/>
                <w:sz w:val="20"/>
                <w:szCs w:val="20"/>
              </w:rPr>
              <w:t xml:space="preserve">Nie dopuszcza się rozwiązań serwerowych wymagających dokupowania dodatkowych licencji umożliwiających zarządzanie serwerem i dostarczających wyżej wymienione funkcjonalności. </w:t>
            </w:r>
          </w:p>
        </w:tc>
        <w:tc>
          <w:tcPr>
            <w:tcW w:w="5832" w:type="dxa"/>
          </w:tcPr>
          <w:p w:rsidR="003D6E1E" w:rsidRPr="000159F9" w:rsidRDefault="003D6E1E" w:rsidP="000159F9">
            <w:pPr>
              <w:spacing w:line="276" w:lineRule="auto"/>
              <w:ind w:left="35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before="20" w:after="20"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before="20" w:after="20"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Bezodstpw"/>
              <w:jc w:val="both"/>
              <w:rPr>
                <w:sz w:val="20"/>
                <w:szCs w:val="20"/>
              </w:rPr>
            </w:pPr>
            <w:r w:rsidRPr="0051247C">
              <w:rPr>
                <w:sz w:val="20"/>
                <w:szCs w:val="20"/>
              </w:rPr>
              <w:t>Przedni panel zamykany na klucz, chroniący dyski twarde</w:t>
            </w:r>
          </w:p>
          <w:p w:rsidR="003D6E1E" w:rsidRPr="0051247C" w:rsidRDefault="003D6E1E" w:rsidP="003D6E1E">
            <w:pPr>
              <w:pStyle w:val="Bezodstpw"/>
              <w:jc w:val="both"/>
              <w:rPr>
                <w:sz w:val="20"/>
                <w:szCs w:val="20"/>
              </w:rPr>
            </w:pPr>
            <w:r w:rsidRPr="0051247C">
              <w:rPr>
                <w:sz w:val="20"/>
                <w:szCs w:val="20"/>
              </w:rPr>
              <w:t>przed nieuprawnionym wyjęciem z serwera.</w:t>
            </w:r>
          </w:p>
        </w:tc>
        <w:tc>
          <w:tcPr>
            <w:tcW w:w="5832" w:type="dxa"/>
          </w:tcPr>
          <w:p w:rsidR="003D6E1E" w:rsidRPr="0051247C" w:rsidRDefault="003D6E1E" w:rsidP="003D6E1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3D6E1E" w:rsidRPr="0066293A" w:rsidTr="0051247C">
        <w:trPr>
          <w:trHeight w:val="2551"/>
        </w:trPr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before="20" w:after="20"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before="20" w:after="20"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51247C">
              <w:rPr>
                <w:sz w:val="20"/>
                <w:szCs w:val="20"/>
              </w:rPr>
              <w:t xml:space="preserve">Serwer musi być wyprodukowany zgodnie z normą ISO-9001 oraz ISO-14001 lub równoważnymi. Serwer musiposiadać deklaracja CE. Serwer winien znajdować się </w:t>
            </w:r>
            <w:proofErr w:type="spellStart"/>
            <w:r w:rsidRPr="0051247C">
              <w:rPr>
                <w:sz w:val="20"/>
                <w:szCs w:val="20"/>
              </w:rPr>
              <w:t>naliście</w:t>
            </w:r>
            <w:proofErr w:type="spellEnd"/>
            <w:r w:rsidRPr="0051247C">
              <w:rPr>
                <w:sz w:val="20"/>
                <w:szCs w:val="20"/>
              </w:rPr>
              <w:t xml:space="preserve"> Windows Server </w:t>
            </w:r>
            <w:proofErr w:type="spellStart"/>
            <w:r w:rsidRPr="0051247C">
              <w:rPr>
                <w:sz w:val="20"/>
                <w:szCs w:val="20"/>
              </w:rPr>
              <w:t>Catalog</w:t>
            </w:r>
            <w:proofErr w:type="spellEnd"/>
            <w:r w:rsidRPr="0051247C">
              <w:rPr>
                <w:sz w:val="20"/>
                <w:szCs w:val="20"/>
              </w:rPr>
              <w:t xml:space="preserve"> lub równoważnej, posiadać status </w:t>
            </w:r>
            <w:proofErr w:type="spellStart"/>
            <w:r w:rsidRPr="0051247C">
              <w:rPr>
                <w:sz w:val="20"/>
                <w:szCs w:val="20"/>
              </w:rPr>
              <w:t>Certified</w:t>
            </w:r>
            <w:proofErr w:type="spellEnd"/>
            <w:r w:rsidRPr="0051247C">
              <w:rPr>
                <w:sz w:val="20"/>
                <w:szCs w:val="20"/>
              </w:rPr>
              <w:t xml:space="preserve"> for Windows” dla systemów MicrosoftWindows Server 2008 R2 x64, x86, Microsoft WindowsServer 2012 oraz Microsoft Windows Server 2016 lubinnych.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Zgodność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systemami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SUSE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 Linux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EnterpriseServer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RedHat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 Enterprise Linux,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CitrixXenServer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VmwarevSphere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inne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47C">
              <w:rPr>
                <w:sz w:val="20"/>
                <w:szCs w:val="20"/>
                <w:lang w:val="en-US"/>
              </w:rPr>
              <w:t>równoważne</w:t>
            </w:r>
            <w:proofErr w:type="spellEnd"/>
            <w:r w:rsidRPr="005124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832" w:type="dxa"/>
          </w:tcPr>
          <w:p w:rsidR="003D6E1E" w:rsidRPr="00943DB6" w:rsidRDefault="003D6E1E" w:rsidP="003D6E1E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D6E1E" w:rsidRPr="0051247C" w:rsidTr="0051247C"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before="20" w:after="20"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before="20" w:after="20"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3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Minimum trzyletnia gwarancja producenta świadczona na miejscu u klienta. Czas reakcji serwisu – do końca następnego dnia roboczego</w:t>
            </w:r>
          </w:p>
          <w:p w:rsidR="003D6E1E" w:rsidRPr="0051247C" w:rsidRDefault="003D6E1E" w:rsidP="003D6E1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3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W przypadku awarii dyski twarde pozostają własnością Zamawiającego </w:t>
            </w:r>
          </w:p>
        </w:tc>
        <w:tc>
          <w:tcPr>
            <w:tcW w:w="5832" w:type="dxa"/>
          </w:tcPr>
          <w:p w:rsidR="003D6E1E" w:rsidRPr="000159F9" w:rsidRDefault="003D6E1E" w:rsidP="000159F9">
            <w:pPr>
              <w:spacing w:line="276" w:lineRule="auto"/>
              <w:ind w:left="3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E1E" w:rsidRPr="0051247C" w:rsidTr="0051247C">
        <w:trPr>
          <w:trHeight w:val="230"/>
        </w:trPr>
        <w:tc>
          <w:tcPr>
            <w:tcW w:w="689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52" w:type="dxa"/>
            <w:vAlign w:val="center"/>
          </w:tcPr>
          <w:p w:rsidR="003D6E1E" w:rsidRPr="0051247C" w:rsidRDefault="003D6E1E" w:rsidP="003D6E1E">
            <w:pPr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5832" w:type="dxa"/>
            <w:vAlign w:val="center"/>
          </w:tcPr>
          <w:p w:rsidR="003D6E1E" w:rsidRPr="0051247C" w:rsidRDefault="003D6E1E" w:rsidP="003D6E1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93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 xml:space="preserve">Zamawiający wymaga dokumentacji w języku polskim lub angielskim. </w:t>
            </w:r>
          </w:p>
          <w:p w:rsidR="003D6E1E" w:rsidRPr="0051247C" w:rsidRDefault="003D6E1E" w:rsidP="003D6E1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93"/>
              <w:jc w:val="both"/>
              <w:rPr>
                <w:rFonts w:cs="Calibri"/>
                <w:sz w:val="20"/>
                <w:szCs w:val="20"/>
              </w:rPr>
            </w:pPr>
            <w:r w:rsidRPr="0051247C">
              <w:rPr>
                <w:rFonts w:cs="Calibri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832" w:type="dxa"/>
          </w:tcPr>
          <w:p w:rsidR="003D6E1E" w:rsidRPr="000159F9" w:rsidRDefault="003D6E1E" w:rsidP="000159F9">
            <w:pPr>
              <w:spacing w:line="276" w:lineRule="auto"/>
              <w:ind w:left="33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E25B1" w:rsidRPr="009377A8" w:rsidRDefault="002E25B1">
      <w:pPr>
        <w:rPr>
          <w:sz w:val="24"/>
          <w:szCs w:val="24"/>
        </w:rPr>
      </w:pPr>
    </w:p>
    <w:p w:rsidR="00D63914" w:rsidRPr="009377A8" w:rsidRDefault="00D63914">
      <w:pPr>
        <w:rPr>
          <w:sz w:val="24"/>
          <w:szCs w:val="24"/>
        </w:rPr>
      </w:pPr>
    </w:p>
    <w:p w:rsidR="00D63914" w:rsidRPr="009377A8" w:rsidRDefault="00D63914">
      <w:pPr>
        <w:rPr>
          <w:rFonts w:cs="Calibri"/>
          <w:b/>
          <w:bCs/>
        </w:rPr>
      </w:pPr>
      <w:r w:rsidRPr="009377A8">
        <w:rPr>
          <w:rFonts w:cs="Calibri"/>
          <w:b/>
          <w:bCs/>
        </w:rPr>
        <w:lastRenderedPageBreak/>
        <w:br/>
      </w:r>
    </w:p>
    <w:p w:rsidR="00D63914" w:rsidRDefault="009333AE" w:rsidP="009333AE">
      <w:pPr>
        <w:spacing w:after="0" w:line="240" w:lineRule="auto"/>
        <w:rPr>
          <w:rFonts w:cs="Calibri"/>
          <w:b/>
          <w:bCs/>
        </w:rPr>
      </w:pPr>
      <w:r>
        <w:rPr>
          <w:b/>
        </w:rPr>
        <w:t xml:space="preserve">Tabela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</w:t>
      </w:r>
      <w:r w:rsidRPr="00F30371">
        <w:rPr>
          <w:b/>
        </w:rPr>
        <w:t xml:space="preserve">  - </w:t>
      </w:r>
      <w:r w:rsidR="00D06D65">
        <w:rPr>
          <w:rFonts w:cs="Calibri"/>
          <w:b/>
          <w:bCs/>
        </w:rPr>
        <w:t>Serwerowy s</w:t>
      </w:r>
      <w:r w:rsidR="00D63914" w:rsidRPr="009333AE">
        <w:rPr>
          <w:rFonts w:cs="Calibri"/>
          <w:b/>
          <w:bCs/>
        </w:rPr>
        <w:t xml:space="preserve">ystem operacyjny i </w:t>
      </w:r>
      <w:r w:rsidR="000D7127" w:rsidRPr="009333AE">
        <w:rPr>
          <w:rFonts w:cs="Calibri"/>
          <w:b/>
          <w:bCs/>
        </w:rPr>
        <w:t xml:space="preserve">120 licencji dostępowych </w:t>
      </w:r>
      <w:r w:rsidR="00943DB6" w:rsidRPr="009333AE">
        <w:rPr>
          <w:rFonts w:cs="Calibri"/>
          <w:b/>
          <w:bCs/>
        </w:rPr>
        <w:t>– ilość 1 szt</w:t>
      </w:r>
      <w:r>
        <w:rPr>
          <w:rFonts w:cs="Calibri"/>
          <w:b/>
          <w:bCs/>
        </w:rPr>
        <w:t>.</w:t>
      </w:r>
    </w:p>
    <w:p w:rsidR="009333AE" w:rsidRPr="009333AE" w:rsidRDefault="009333AE" w:rsidP="009333AE">
      <w:pPr>
        <w:spacing w:after="0" w:line="240" w:lineRule="auto"/>
        <w:rPr>
          <w:b/>
        </w:rPr>
      </w:pPr>
    </w:p>
    <w:p w:rsidR="00943DB6" w:rsidRPr="00F30371" w:rsidRDefault="00943DB6" w:rsidP="00943DB6">
      <w:pPr>
        <w:spacing w:after="0" w:line="240" w:lineRule="auto"/>
        <w:jc w:val="center"/>
      </w:pPr>
      <w:r w:rsidRPr="00F30371">
        <w:t>…………………………………………………….……………………………………………………………………..</w:t>
      </w:r>
    </w:p>
    <w:p w:rsidR="00943DB6" w:rsidRPr="0051247C" w:rsidRDefault="00943DB6" w:rsidP="009333A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</w:t>
      </w:r>
      <w:r w:rsidRPr="0051247C">
        <w:rPr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2970"/>
        <w:gridCol w:w="2970"/>
        <w:gridCol w:w="1485"/>
        <w:gridCol w:w="1485"/>
        <w:gridCol w:w="2970"/>
        <w:gridCol w:w="2971"/>
      </w:tblGrid>
      <w:tr w:rsidR="000D7127" w:rsidTr="000D7127">
        <w:trPr>
          <w:hidden/>
        </w:trPr>
        <w:tc>
          <w:tcPr>
            <w:tcW w:w="7425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7426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</w:tr>
      <w:tr w:rsidR="000D7127" w:rsidTr="000D7127">
        <w:trPr>
          <w:hidden/>
        </w:trPr>
        <w:tc>
          <w:tcPr>
            <w:tcW w:w="7425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7426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</w:tr>
      <w:tr w:rsidR="000D7127" w:rsidTr="000D7127">
        <w:trPr>
          <w:hidden/>
        </w:trPr>
        <w:tc>
          <w:tcPr>
            <w:tcW w:w="7425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7426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</w:tr>
      <w:tr w:rsidR="000D7127" w:rsidTr="000D7127">
        <w:trPr>
          <w:hidden/>
        </w:trPr>
        <w:tc>
          <w:tcPr>
            <w:tcW w:w="7425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7426" w:type="dxa"/>
            <w:gridSpan w:val="3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</w:tr>
      <w:tr w:rsidR="000D7127" w:rsidTr="000D7127">
        <w:trPr>
          <w:hidden/>
        </w:trPr>
        <w:tc>
          <w:tcPr>
            <w:tcW w:w="2970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0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0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1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</w:tr>
      <w:tr w:rsidR="000D7127" w:rsidTr="000D7127">
        <w:trPr>
          <w:hidden/>
        </w:trPr>
        <w:tc>
          <w:tcPr>
            <w:tcW w:w="2970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0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0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2971" w:type="dxa"/>
          </w:tcPr>
          <w:p w:rsidR="000D7127" w:rsidRDefault="000D7127" w:rsidP="009333AE">
            <w:pPr>
              <w:jc w:val="both"/>
              <w:rPr>
                <w:b/>
                <w:bCs/>
                <w:vanish/>
                <w:sz w:val="24"/>
                <w:szCs w:val="24"/>
              </w:rPr>
            </w:pPr>
          </w:p>
        </w:tc>
      </w:tr>
    </w:tbl>
    <w:p w:rsidR="00943DB6" w:rsidRPr="005D2919" w:rsidRDefault="00943DB6" w:rsidP="009333AE">
      <w:pPr>
        <w:spacing w:after="0" w:line="240" w:lineRule="auto"/>
        <w:jc w:val="both"/>
        <w:rPr>
          <w:b/>
          <w:bCs/>
          <w:vanish/>
          <w:sz w:val="24"/>
          <w:szCs w:val="24"/>
          <w:specVanish/>
        </w:rPr>
      </w:pPr>
    </w:p>
    <w:p w:rsidR="00D63914" w:rsidRPr="005D2919" w:rsidRDefault="00D63914" w:rsidP="009333AE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25"/>
        <w:gridCol w:w="7426"/>
      </w:tblGrid>
      <w:tr w:rsidR="000D7127" w:rsidRPr="000D7127" w:rsidTr="00A537DB">
        <w:tc>
          <w:tcPr>
            <w:tcW w:w="14851" w:type="dxa"/>
            <w:gridSpan w:val="2"/>
          </w:tcPr>
          <w:p w:rsidR="000D7127" w:rsidRPr="000D7127" w:rsidRDefault="000D7127" w:rsidP="000D7127">
            <w:pPr>
              <w:pStyle w:val="Bezodstpw"/>
              <w:jc w:val="both"/>
              <w:rPr>
                <w:sz w:val="20"/>
                <w:szCs w:val="20"/>
              </w:rPr>
            </w:pPr>
            <w:r w:rsidRPr="000D7127">
              <w:rPr>
                <w:sz w:val="20"/>
                <w:szCs w:val="20"/>
              </w:rPr>
              <w:t xml:space="preserve">Serwerowy system operacyjny oczekiwany przez Zamawiającego to: </w:t>
            </w:r>
          </w:p>
          <w:p w:rsidR="000D7127" w:rsidRPr="000D7127" w:rsidRDefault="000D7127" w:rsidP="000D7127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0D7127">
              <w:rPr>
                <w:b/>
                <w:bCs/>
                <w:sz w:val="20"/>
                <w:szCs w:val="20"/>
              </w:rPr>
              <w:t>Microsoft Windows Server 2019Datacenter x64 2CPU PL wraz z niezbędnymi licencjami dostępowymi CAL (Client Access License) do serwera w trybie na użytkownika</w:t>
            </w:r>
          </w:p>
          <w:p w:rsidR="000D7127" w:rsidRPr="000D7127" w:rsidRDefault="000D7127" w:rsidP="000D7127">
            <w:pPr>
              <w:pStyle w:val="Bezodstpw"/>
              <w:jc w:val="both"/>
              <w:rPr>
                <w:b/>
                <w:bCs/>
                <w:sz w:val="20"/>
                <w:szCs w:val="20"/>
              </w:rPr>
            </w:pPr>
            <w:r w:rsidRPr="000D7127">
              <w:rPr>
                <w:b/>
                <w:bCs/>
                <w:sz w:val="20"/>
                <w:szCs w:val="20"/>
              </w:rPr>
              <w:t xml:space="preserve">w ilości 120 sztuk. </w:t>
            </w:r>
          </w:p>
          <w:p w:rsidR="000D7127" w:rsidRPr="000D7127" w:rsidRDefault="000D7127" w:rsidP="000D7127">
            <w:p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>Oczekiwany serwerowy system operacyjny przez Zamawiającego musi być: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z prawem do instalacji wcześniejszych wersji,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z prawem do instalacji na maszynach dwuprocesorowych.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licencja musi obejmować wszystkie procesory i wszystkie rdzenie w zaproponowanym serwerze.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>licencja musi umożliwić instalacje nieograniczonej ilości instancji wirtualnych z prawem do instalacji na nich systemu operacyjnego Windows Server 2019 lub wersji wcześniejszych.</w:t>
            </w:r>
          </w:p>
          <w:p w:rsidR="000D7127" w:rsidRDefault="000D7127" w:rsidP="009377A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>licencja nie może być ograniczona czasowo.</w:t>
            </w:r>
          </w:p>
          <w:p w:rsidR="00F74259" w:rsidRPr="00F74259" w:rsidRDefault="00F74259" w:rsidP="00F74259">
            <w:pPr>
              <w:pStyle w:val="Bezodstpw"/>
              <w:jc w:val="both"/>
              <w:rPr>
                <w:sz w:val="20"/>
                <w:szCs w:val="20"/>
              </w:rPr>
            </w:pPr>
            <w:r w:rsidRPr="000D7127">
              <w:rPr>
                <w:b/>
                <w:bCs/>
                <w:sz w:val="20"/>
                <w:szCs w:val="20"/>
              </w:rPr>
              <w:t>Zamawiający dopuszcza zaproponowanie oprogramowania równoważnego</w:t>
            </w:r>
            <w:r w:rsidRPr="000D7127">
              <w:rPr>
                <w:sz w:val="20"/>
                <w:szCs w:val="20"/>
              </w:rPr>
              <w:t xml:space="preserve"> - za oprogramowanie równoważne Zamawiający uznaje:</w:t>
            </w:r>
          </w:p>
        </w:tc>
      </w:tr>
      <w:tr w:rsidR="000D7127" w:rsidRPr="000D7127" w:rsidTr="000D7127">
        <w:tc>
          <w:tcPr>
            <w:tcW w:w="7425" w:type="dxa"/>
            <w:shd w:val="clear" w:color="auto" w:fill="D9D9D9" w:themeFill="background1" w:themeFillShade="D9"/>
          </w:tcPr>
          <w:p w:rsidR="000D7127" w:rsidRPr="000D7127" w:rsidRDefault="000D7127" w:rsidP="0056789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D7127">
              <w:rPr>
                <w:rFonts w:cs="Times New Roman"/>
                <w:b/>
                <w:bCs/>
                <w:sz w:val="20"/>
                <w:szCs w:val="20"/>
              </w:rPr>
              <w:t>Wymagane parametry minimalne</w:t>
            </w:r>
          </w:p>
        </w:tc>
        <w:tc>
          <w:tcPr>
            <w:tcW w:w="7426" w:type="dxa"/>
            <w:shd w:val="clear" w:color="auto" w:fill="D9D9D9" w:themeFill="background1" w:themeFillShade="D9"/>
            <w:vAlign w:val="center"/>
          </w:tcPr>
          <w:p w:rsidR="000D7127" w:rsidRPr="000D7127" w:rsidRDefault="000D7127" w:rsidP="00F74259">
            <w:pPr>
              <w:rPr>
                <w:sz w:val="20"/>
                <w:szCs w:val="20"/>
              </w:rPr>
            </w:pPr>
            <w:r w:rsidRPr="000D7127">
              <w:rPr>
                <w:rFonts w:cs="Times New Roman"/>
                <w:b/>
                <w:bCs/>
                <w:sz w:val="20"/>
                <w:szCs w:val="20"/>
              </w:rPr>
              <w:t xml:space="preserve">Parametry </w:t>
            </w:r>
            <w:r w:rsidR="00F74259">
              <w:rPr>
                <w:rFonts w:cs="Times New Roman"/>
                <w:b/>
                <w:bCs/>
                <w:sz w:val="20"/>
                <w:szCs w:val="20"/>
              </w:rPr>
              <w:t xml:space="preserve">oprogramowania równoważnego </w:t>
            </w:r>
            <w:proofErr w:type="spellStart"/>
            <w:r w:rsidR="00F74259">
              <w:rPr>
                <w:rFonts w:cs="Times New Roman"/>
                <w:b/>
                <w:bCs/>
                <w:sz w:val="20"/>
                <w:szCs w:val="20"/>
              </w:rPr>
              <w:t>oferowaneo</w:t>
            </w:r>
            <w:proofErr w:type="spellEnd"/>
            <w:r w:rsidRPr="000D7127">
              <w:rPr>
                <w:rFonts w:cs="Times New Roman"/>
                <w:b/>
                <w:bCs/>
                <w:sz w:val="20"/>
                <w:szCs w:val="20"/>
              </w:rPr>
              <w:t xml:space="preserve"> przez Wykonawc</w:t>
            </w:r>
            <w:r w:rsidRPr="000D7127">
              <w:rPr>
                <w:rFonts w:eastAsia="TimesNewRoman,Bold" w:cs="TimesNewRoman,Bold"/>
                <w:b/>
                <w:bCs/>
                <w:sz w:val="20"/>
                <w:szCs w:val="20"/>
              </w:rPr>
              <w:t>ę</w:t>
            </w:r>
          </w:p>
        </w:tc>
      </w:tr>
      <w:tr w:rsidR="000D7127" w:rsidRPr="000D7127" w:rsidTr="000D7127">
        <w:tc>
          <w:tcPr>
            <w:tcW w:w="7425" w:type="dxa"/>
          </w:tcPr>
          <w:p w:rsidR="000D7127" w:rsidRPr="000D7127" w:rsidRDefault="000D7127" w:rsidP="000D7127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D7127">
              <w:rPr>
                <w:sz w:val="20"/>
                <w:szCs w:val="20"/>
              </w:rPr>
              <w:t xml:space="preserve">oprogramowanie posiadające tożsamą funkcjonalność co wskazane w opisie przedmiotu zamówienia oraz możliwość pełnej integracji i współpracy z posiadanym i wykorzystywanym przez Zamawiającego. </w:t>
            </w:r>
          </w:p>
          <w:p w:rsidR="000D7127" w:rsidRPr="000D7127" w:rsidRDefault="000D7127" w:rsidP="000D7127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D7127">
              <w:rPr>
                <w:sz w:val="20"/>
                <w:szCs w:val="20"/>
              </w:rPr>
              <w:t>Zamawiający zastrzega sobie prawo do testów oprogramowania równoważnego przed zawarciem umowy.</w:t>
            </w:r>
          </w:p>
          <w:p w:rsidR="000D7127" w:rsidRPr="000D7127" w:rsidRDefault="000D7127" w:rsidP="000D7127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D7127">
              <w:rPr>
                <w:sz w:val="20"/>
                <w:szCs w:val="20"/>
              </w:rPr>
              <w:t>oprogramowanie równoważne dostarczane przez Wykonawcę nie może powodować utratykompatybilności oraz wsparcia producentów innego używanego i współpracującego z nimoprogramowania.</w:t>
            </w:r>
          </w:p>
          <w:p w:rsidR="000D7127" w:rsidRPr="000D7127" w:rsidRDefault="000D7127" w:rsidP="000D7127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D7127">
              <w:rPr>
                <w:rFonts w:cs="Arial"/>
                <w:sz w:val="20"/>
                <w:szCs w:val="20"/>
              </w:rPr>
              <w:t>oprogramowanierównoważne zastosowane przez Wykonawcę nie może w momencieskładania przez niego oferty mieć statusu zakończenia wsparcia technicznego producenta.</w:t>
            </w:r>
          </w:p>
          <w:p w:rsidR="000D7127" w:rsidRPr="000D7127" w:rsidRDefault="000D7127" w:rsidP="000D7127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D7127">
              <w:rPr>
                <w:rFonts w:cs="Arial"/>
                <w:sz w:val="20"/>
                <w:szCs w:val="20"/>
              </w:rPr>
              <w:t>niedopuszczalne jest zastosowanie oprogramowania równoważnego, dla którego producent</w:t>
            </w:r>
          </w:p>
          <w:p w:rsidR="000D7127" w:rsidRPr="000D7127" w:rsidRDefault="000D7127" w:rsidP="000D7127">
            <w:pPr>
              <w:pStyle w:val="Bezodstpw"/>
              <w:ind w:left="720"/>
              <w:jc w:val="both"/>
              <w:rPr>
                <w:sz w:val="20"/>
                <w:szCs w:val="20"/>
              </w:rPr>
            </w:pPr>
            <w:r w:rsidRPr="000D7127">
              <w:rPr>
                <w:rFonts w:cs="Arial"/>
                <w:sz w:val="20"/>
                <w:szCs w:val="20"/>
              </w:rPr>
              <w:t>ogłosił zakończenie jego rozwoju w terminie 3 lat licząc od momentu złożenia oferty.</w:t>
            </w:r>
          </w:p>
          <w:p w:rsidR="000D7127" w:rsidRPr="000D7127" w:rsidRDefault="000D7127" w:rsidP="000D7127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D7127">
              <w:rPr>
                <w:rFonts w:cs="Arial"/>
                <w:sz w:val="20"/>
                <w:szCs w:val="20"/>
              </w:rPr>
              <w:lastRenderedPageBreak/>
              <w:t>niedopuszczalne jest użycie oprogramowania równoważnego, dla którego producentoprogramowania współpracującego ogłosił zaprzestanie wsparcia w jego nowszych wersjach.</w:t>
            </w:r>
          </w:p>
          <w:p w:rsidR="000D7127" w:rsidRPr="000D7127" w:rsidRDefault="000D7127" w:rsidP="000D712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D712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Równoważny serwerowy system operacyjny </w:t>
            </w:r>
            <w:r w:rsidRPr="000D7127">
              <w:rPr>
                <w:rFonts w:cs="Arial"/>
                <w:color w:val="000000"/>
                <w:sz w:val="20"/>
                <w:szCs w:val="20"/>
              </w:rPr>
              <w:t>musi również spełniać następujące wymagania minimalne :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D7127">
              <w:rPr>
                <w:rFonts w:cs="Arial"/>
                <w:color w:val="000000"/>
                <w:sz w:val="20"/>
                <w:szCs w:val="20"/>
              </w:rPr>
              <w:t xml:space="preserve">Licencja musi uprawniać do uruchamiania serwerowego systemu operacyjnego w środowisku fizycznym oferowanego serwera na wszystkich procesorach i rdzeniach i nieograniczonej liczy wirtualnych środowisk serwerowego systemu operacyjnego.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D7127">
              <w:rPr>
                <w:rFonts w:cs="Arial"/>
                <w:color w:val="000000"/>
                <w:sz w:val="20"/>
                <w:szCs w:val="20"/>
              </w:rPr>
              <w:t>Musi zezwalać na jednoczesne podłączenie do serwera minimum 120 użytkowników.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wykorzystania nielimitowanej liczby rdzenie logicznych procesorów oraz co najmniej 24 TB pamięci RAM w środowisku fizycznym.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wykorzystywania 64 procesorów wirtualnych oraz minimum 1TB pamięci RAM i dysku o pojemności minimum 64TB przez każdy wirtualny serwerowy system operacyjny.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budowania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klastrów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składających się z 64 węzłów.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federowania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klastrów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failover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zespół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klastrów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Cluster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Set) z możliwością przenoszenia maszyn wirtualnych wewnątrz zespołu.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Automatyczna weryfikacja cyfrowych sygnatur sterowników w celu sprawdzenia czy sterownik przeszedł testy jakości przeprowadzone przez producenta systemu operacyjnego.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dynamicznego obniżania poboru energii przez rdzenie procesorów niewykorzystywane w bieżącej pracy.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Wbudowane wsparcie instalacji i pracy na wolumenach, które: </w:t>
            </w:r>
          </w:p>
          <w:p w:rsidR="000D7127" w:rsidRPr="000D7127" w:rsidRDefault="000D7127" w:rsidP="000D712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134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pozwalają na zmianę rozmiaru w czasie pracy systemu, </w:t>
            </w:r>
          </w:p>
          <w:p w:rsidR="000D7127" w:rsidRPr="000D7127" w:rsidRDefault="000D7127" w:rsidP="000D712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134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:rsidR="000D7127" w:rsidRPr="000D7127" w:rsidRDefault="000D7127" w:rsidP="000D712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134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umożliwiają kompresję "w locie" dla wybranych plików i/lub folderów, </w:t>
            </w:r>
          </w:p>
          <w:p w:rsidR="000D7127" w:rsidRPr="000D7127" w:rsidRDefault="000D7127" w:rsidP="000D712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134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>umożliwiają zdefiniowanie list kontroli dostępu (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ACL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).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Wbudowany mechanizm klasyfikowania i indeksowania plików (dokumentów) w oparciu o ich zawartość.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Wbudowane szyfrowanie dysków przy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pomocy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mechanizmów posiadających certyfikat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FIPS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140-2 lub równoważny wydany przez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NIST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lub inną agendę rządową zajmującą się bezpieczeństwem informacji.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uruchamianie aplikacji internetowych wykorzystujących technologię </w:t>
            </w:r>
            <w:r w:rsidRPr="000D7127">
              <w:rPr>
                <w:rFonts w:cs="Palatino Linotype"/>
                <w:color w:val="000000"/>
                <w:sz w:val="20"/>
                <w:szCs w:val="20"/>
              </w:rPr>
              <w:lastRenderedPageBreak/>
              <w:t xml:space="preserve">ASP.NET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dystrybucji ruchu sieciowego HTTP pomiędzy kilka serwerów.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wykorzystania standardu http/2.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Wbudowana zapora internetowa (firewall) z obsługą definiowanych reguł dla ochrony połączeń internetowych i intranetowych.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Dostępne dwa rodzaje graficznego interfejsu użytkownika: </w:t>
            </w:r>
          </w:p>
          <w:p w:rsidR="000D7127" w:rsidRPr="000D7127" w:rsidRDefault="000D7127" w:rsidP="000D712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134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Klasyczny, umożliwiający obsługę przy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pomocy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klawiatury i myszy, </w:t>
            </w:r>
          </w:p>
          <w:p w:rsidR="000D7127" w:rsidRPr="000D7127" w:rsidRDefault="000D7127" w:rsidP="000D712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134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Dotykowy umożliwiający sterowanie dotykiem na monitorach dotykowych.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Zlokalizowane w języku polskim, co najmniej następujące elementy: menu, przeglądarka internetowa, pomoc, komunikaty systemowe,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wymuszania wieloelementowej dynamicznej kontroli dostępu dla: określonych grup użytkowników, zastosowanej klasyfikacji danych, centralnych polityk dostępu w sieci, centralnych polityk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audytowych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oraz narzuconych dla grup użytkowników praw do wykorzystywania szyfrowanych danych.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USB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Plug&amp;Play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).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zdalnej konfiguracji, administrowania oraz aktualizowania systemu.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Dostępność bezpłatnych narzędzi producenta systemu umożliwiających badanie i wdrażanie zdefiniowanego zestawu polityk bezpieczeństwa.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Dostępny, pochodzący od producenta systemu serwis zarządzania polityką dostępu do informacji w dokumentach (Digital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Rights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Management).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Wsparcie dla środowisk Java i .NET Framework 4.x i wyższych – możliwość uruchomienia aplikacji działających we wskazanych środowiskach.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Podstawowe usługi sieciowe: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DHCP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DNS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wspierający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DNSSEC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,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Usługi katalogowe oparte o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LDAP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0D7127" w:rsidRPr="000D7127" w:rsidRDefault="000D7127" w:rsidP="000D7127">
            <w:pPr>
              <w:autoSpaceDE w:val="0"/>
              <w:autoSpaceDN w:val="0"/>
              <w:adjustRightInd w:val="0"/>
              <w:ind w:left="1418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i. Podłączenie do domeny w trybie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offline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– bez dostępnego połączenia sieciowego z domeną, </w:t>
            </w:r>
          </w:p>
          <w:p w:rsidR="000D7127" w:rsidRPr="000D7127" w:rsidRDefault="000D7127" w:rsidP="000D7127">
            <w:pPr>
              <w:autoSpaceDE w:val="0"/>
              <w:autoSpaceDN w:val="0"/>
              <w:adjustRightInd w:val="0"/>
              <w:ind w:left="1418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ii. Ustanawianie praw dostępu do zasobów domeny na bazie sposobu logowania użytkownika – na przykład typu certyfikatu użytego do </w:t>
            </w:r>
            <w:r w:rsidRPr="000D7127">
              <w:rPr>
                <w:rFonts w:cs="Palatino Linotype"/>
                <w:color w:val="000000"/>
                <w:sz w:val="20"/>
                <w:szCs w:val="20"/>
              </w:rPr>
              <w:lastRenderedPageBreak/>
              <w:t xml:space="preserve">logowania, </w:t>
            </w:r>
          </w:p>
          <w:p w:rsidR="000D7127" w:rsidRPr="000D7127" w:rsidRDefault="000D7127" w:rsidP="000D7127">
            <w:pPr>
              <w:autoSpaceDE w:val="0"/>
              <w:autoSpaceDN w:val="0"/>
              <w:adjustRightInd w:val="0"/>
              <w:ind w:left="1418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iii. Odzyskiwanie przypadkowo skasowanych obiektów usługi katalogowej z mechanizmu kosza. </w:t>
            </w:r>
          </w:p>
          <w:p w:rsidR="000D7127" w:rsidRPr="000D7127" w:rsidRDefault="000D7127" w:rsidP="000D7127">
            <w:pPr>
              <w:autoSpaceDE w:val="0"/>
              <w:autoSpaceDN w:val="0"/>
              <w:adjustRightInd w:val="0"/>
              <w:ind w:left="1418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iv. Bezpieczny mechanizm dołączania do domeny uprawnionych użytkowników prywatnych urządzeń mobilnych opartych o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iOS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i Windows 8.1.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Zdalna dystrybucja oprogramowania na stacje robocze.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Praca zdalna na serwerze z wykorzystaniem terminala (cienkiego klienta) lub odpowiednio skonfigurowanej stacji roboczej z możliwością dostępu minimum 65 tys. Użytkowników.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Szyfrowanie plików i folderów.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>Szyfrowanie połączeń sieciowych pomiędzy serwerami oraz serwerami i stacjami roboczymi (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IPSec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).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Szyfrowanie sieci wirtualnych pomiędzy maszynami wirtualnymi.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>Możliwość tworzenia systemów wysokiej dostępności (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klastry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fail-over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) oraz rozłożenia obciążenia serwerów.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Serwis udostępniania stron WWW.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Wsparcie dla protokołu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IP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w wersji 6 (IPv6),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Wsparcie dla algorytmów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Suite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B (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RFC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4869),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sz w:val="20"/>
                <w:szCs w:val="20"/>
              </w:rPr>
              <w:t xml:space="preserve">Wbudowane usługi </w:t>
            </w:r>
            <w:proofErr w:type="spellStart"/>
            <w:r w:rsidRPr="000D7127">
              <w:rPr>
                <w:rFonts w:cs="Palatino Linotype"/>
                <w:sz w:val="20"/>
                <w:szCs w:val="20"/>
              </w:rPr>
              <w:t>VPN</w:t>
            </w:r>
            <w:proofErr w:type="spellEnd"/>
            <w:r w:rsidRPr="000D7127">
              <w:rPr>
                <w:rFonts w:cs="Palatino Linotype"/>
                <w:sz w:val="20"/>
                <w:szCs w:val="20"/>
              </w:rPr>
              <w:t xml:space="preserve"> pozwalające na zestawienie nielimitowanej liczby równoczesnych połączeń i niewymagające instalacji dodatkowego oprogramowania na komputerach z systemem Windows,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>Możliwość migracji maszyn wirtualnych między fizycznymi serwerami z uruchomionym mechanizmem wirtualizacji (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hypervisor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) przez sieć Ethernet, bez konieczności stosowania dodatkowych mechanizmów współdzielenia pamięci.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:rsidR="000D7127" w:rsidRPr="000D7127" w:rsidRDefault="000D7127" w:rsidP="000D712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Możliwość przenoszenia maszyn wirtualnych pomiędzy serwerami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klastra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0D7127">
              <w:rPr>
                <w:rFonts w:cs="Palatino Linotype"/>
                <w:color w:val="000000"/>
                <w:sz w:val="20"/>
                <w:szCs w:val="20"/>
              </w:rPr>
              <w:t>failoverz</w:t>
            </w:r>
            <w:proofErr w:type="spellEnd"/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 jednoczesnym zachowaniem pozostałej funkcjonalności. </w:t>
            </w:r>
          </w:p>
          <w:p w:rsidR="000D7127" w:rsidRPr="0066293A" w:rsidRDefault="000D7127" w:rsidP="009377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Palatino Linotype"/>
                <w:color w:val="000000"/>
                <w:sz w:val="20"/>
                <w:szCs w:val="20"/>
              </w:rPr>
            </w:pPr>
            <w:r w:rsidRPr="000D7127">
              <w:rPr>
                <w:rFonts w:cs="Palatino Linotype"/>
                <w:color w:val="000000"/>
                <w:sz w:val="20"/>
                <w:szCs w:val="20"/>
              </w:rPr>
              <w:t xml:space="preserve">Mechanizmy pozwalające na blokadę dostępu nieznanych procesów do chronionych katalogów. </w:t>
            </w:r>
          </w:p>
        </w:tc>
        <w:tc>
          <w:tcPr>
            <w:tcW w:w="7426" w:type="dxa"/>
          </w:tcPr>
          <w:p w:rsidR="000D7127" w:rsidRPr="000D7127" w:rsidRDefault="000D7127" w:rsidP="009377A8">
            <w:pPr>
              <w:jc w:val="both"/>
              <w:rPr>
                <w:sz w:val="20"/>
                <w:szCs w:val="20"/>
              </w:rPr>
            </w:pPr>
          </w:p>
        </w:tc>
      </w:tr>
    </w:tbl>
    <w:p w:rsidR="00BD3C19" w:rsidRPr="009377A8" w:rsidRDefault="00BD3C19" w:rsidP="009377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sectPr w:rsidR="00BD3C19" w:rsidRPr="009377A8" w:rsidSect="009333AE">
      <w:pgSz w:w="16838" w:h="11906" w:orient="landscape"/>
      <w:pgMar w:top="1418" w:right="1276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BA5"/>
    <w:multiLevelType w:val="hybridMultilevel"/>
    <w:tmpl w:val="6F0EC710"/>
    <w:lvl w:ilvl="0" w:tplc="4B72C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6011"/>
    <w:multiLevelType w:val="hybridMultilevel"/>
    <w:tmpl w:val="5C0EE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27197D"/>
    <w:multiLevelType w:val="hybridMultilevel"/>
    <w:tmpl w:val="D75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48B1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F6E5A"/>
    <w:multiLevelType w:val="hybridMultilevel"/>
    <w:tmpl w:val="5BDE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59E3"/>
    <w:multiLevelType w:val="hybridMultilevel"/>
    <w:tmpl w:val="4D04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0B57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0656E68"/>
    <w:multiLevelType w:val="hybridMultilevel"/>
    <w:tmpl w:val="A572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6BEE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CD57BF"/>
    <w:multiLevelType w:val="hybridMultilevel"/>
    <w:tmpl w:val="0330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0EB5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5C460CB"/>
    <w:multiLevelType w:val="hybridMultilevel"/>
    <w:tmpl w:val="24BA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26D27"/>
    <w:multiLevelType w:val="hybridMultilevel"/>
    <w:tmpl w:val="A5A40D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350ADF"/>
    <w:multiLevelType w:val="hybridMultilevel"/>
    <w:tmpl w:val="7E06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A0F29"/>
    <w:multiLevelType w:val="hybridMultilevel"/>
    <w:tmpl w:val="B1FA5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87B54"/>
    <w:multiLevelType w:val="hybridMultilevel"/>
    <w:tmpl w:val="50121F32"/>
    <w:lvl w:ilvl="0" w:tplc="5C48B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CFB"/>
    <w:rsid w:val="000159F9"/>
    <w:rsid w:val="0003789A"/>
    <w:rsid w:val="00072BFB"/>
    <w:rsid w:val="00096A6B"/>
    <w:rsid w:val="000D7127"/>
    <w:rsid w:val="000F76F3"/>
    <w:rsid w:val="0012392D"/>
    <w:rsid w:val="0015593A"/>
    <w:rsid w:val="00187C1B"/>
    <w:rsid w:val="001C6828"/>
    <w:rsid w:val="00213196"/>
    <w:rsid w:val="00221946"/>
    <w:rsid w:val="002428BB"/>
    <w:rsid w:val="0024595A"/>
    <w:rsid w:val="00253FF9"/>
    <w:rsid w:val="0028569B"/>
    <w:rsid w:val="002875AF"/>
    <w:rsid w:val="002B0897"/>
    <w:rsid w:val="002E25B1"/>
    <w:rsid w:val="003126D4"/>
    <w:rsid w:val="00315942"/>
    <w:rsid w:val="0039092C"/>
    <w:rsid w:val="003B2102"/>
    <w:rsid w:val="003B3422"/>
    <w:rsid w:val="003D6E1E"/>
    <w:rsid w:val="003E7A34"/>
    <w:rsid w:val="00460846"/>
    <w:rsid w:val="004D175D"/>
    <w:rsid w:val="004D7CD3"/>
    <w:rsid w:val="004F341E"/>
    <w:rsid w:val="0051247C"/>
    <w:rsid w:val="0054106B"/>
    <w:rsid w:val="00557389"/>
    <w:rsid w:val="00594AD1"/>
    <w:rsid w:val="005A20BB"/>
    <w:rsid w:val="005A6F7F"/>
    <w:rsid w:val="005C168E"/>
    <w:rsid w:val="005D2919"/>
    <w:rsid w:val="006037BE"/>
    <w:rsid w:val="00641970"/>
    <w:rsid w:val="0065642C"/>
    <w:rsid w:val="0066293A"/>
    <w:rsid w:val="006716DA"/>
    <w:rsid w:val="00697798"/>
    <w:rsid w:val="006A3BAA"/>
    <w:rsid w:val="0071238D"/>
    <w:rsid w:val="0071299E"/>
    <w:rsid w:val="007626B7"/>
    <w:rsid w:val="00771714"/>
    <w:rsid w:val="007F161D"/>
    <w:rsid w:val="007F2DB5"/>
    <w:rsid w:val="00817AA1"/>
    <w:rsid w:val="00824FE2"/>
    <w:rsid w:val="008425C8"/>
    <w:rsid w:val="00877088"/>
    <w:rsid w:val="008C183C"/>
    <w:rsid w:val="008C6B0B"/>
    <w:rsid w:val="008F44DD"/>
    <w:rsid w:val="00926057"/>
    <w:rsid w:val="009333AE"/>
    <w:rsid w:val="009377A8"/>
    <w:rsid w:val="00943DB6"/>
    <w:rsid w:val="00944AC7"/>
    <w:rsid w:val="00975FA4"/>
    <w:rsid w:val="00982BD5"/>
    <w:rsid w:val="009A2374"/>
    <w:rsid w:val="009C62F0"/>
    <w:rsid w:val="009E5A1C"/>
    <w:rsid w:val="00A76882"/>
    <w:rsid w:val="00AC1EFD"/>
    <w:rsid w:val="00AD7D41"/>
    <w:rsid w:val="00B2789B"/>
    <w:rsid w:val="00B82768"/>
    <w:rsid w:val="00BA2A25"/>
    <w:rsid w:val="00BD3C19"/>
    <w:rsid w:val="00C31A2A"/>
    <w:rsid w:val="00C67AD8"/>
    <w:rsid w:val="00C917BC"/>
    <w:rsid w:val="00C91CFB"/>
    <w:rsid w:val="00CB4425"/>
    <w:rsid w:val="00CF5B0B"/>
    <w:rsid w:val="00D00A9D"/>
    <w:rsid w:val="00D06D65"/>
    <w:rsid w:val="00D54416"/>
    <w:rsid w:val="00D63914"/>
    <w:rsid w:val="00D803E7"/>
    <w:rsid w:val="00D924D0"/>
    <w:rsid w:val="00E8406C"/>
    <w:rsid w:val="00F332B5"/>
    <w:rsid w:val="00F60C19"/>
    <w:rsid w:val="00F74259"/>
    <w:rsid w:val="00FA3250"/>
    <w:rsid w:val="00FC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3A"/>
  </w:style>
  <w:style w:type="paragraph" w:styleId="Nagwek1">
    <w:name w:val="heading 1"/>
    <w:basedOn w:val="Normalny"/>
    <w:next w:val="Normalny"/>
    <w:link w:val="Nagwek1Znak"/>
    <w:uiPriority w:val="99"/>
    <w:qFormat/>
    <w:rsid w:val="002E2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E25B1"/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Hipercze">
    <w:name w:val="Hyperlink"/>
    <w:basedOn w:val="Domylnaczcionkaakapitu"/>
    <w:uiPriority w:val="99"/>
    <w:rsid w:val="002E25B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5B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6B7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594AD1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594AD1"/>
    <w:rPr>
      <w:color w:val="000000"/>
      <w:sz w:val="15"/>
      <w:szCs w:val="15"/>
    </w:rPr>
  </w:style>
  <w:style w:type="paragraph" w:styleId="Bezodstpw">
    <w:name w:val="No Spacing"/>
    <w:uiPriority w:val="1"/>
    <w:qFormat/>
    <w:rsid w:val="00594AD1"/>
    <w:pPr>
      <w:spacing w:after="0" w:line="240" w:lineRule="auto"/>
    </w:pPr>
  </w:style>
  <w:style w:type="character" w:customStyle="1" w:styleId="e24kjd">
    <w:name w:val="e24kjd"/>
    <w:basedOn w:val="Domylnaczcionkaakapitu"/>
    <w:rsid w:val="00B82768"/>
  </w:style>
  <w:style w:type="paragraph" w:styleId="Tekstdymka">
    <w:name w:val="Balloon Text"/>
    <w:basedOn w:val="Normalny"/>
    <w:link w:val="TekstdymkaZnak"/>
    <w:uiPriority w:val="99"/>
    <w:semiHidden/>
    <w:unhideWhenUsed/>
    <w:rsid w:val="005D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74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4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F742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F742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4259"/>
  </w:style>
  <w:style w:type="paragraph" w:styleId="Tekstpodstawowy3">
    <w:name w:val="Body Text 3"/>
    <w:basedOn w:val="Normalny"/>
    <w:link w:val="Tekstpodstawowy3Znak"/>
    <w:rsid w:val="00F74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4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74259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2571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Wiesław</cp:lastModifiedBy>
  <cp:revision>6</cp:revision>
  <cp:lastPrinted>2020-06-26T12:23:00Z</cp:lastPrinted>
  <dcterms:created xsi:type="dcterms:W3CDTF">2020-07-08T09:00:00Z</dcterms:created>
  <dcterms:modified xsi:type="dcterms:W3CDTF">2020-07-08T12:11:00Z</dcterms:modified>
</cp:coreProperties>
</file>